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26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26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26.1 — De drie routes vergelijken</w:t>
      </w:r>
    </w:p>
    <w:p>
      <w:pPr>
        <w:spacing w:after="140" w:line="300"/>
      </w:pPr>
      <w:r>
        <w:rPr>
          <w:rFonts w:ascii="Calibri" w:cs="Calibri" w:eastAsia="Calibri" w:hAnsi="Calibri"/>
          <w:b w:val="false"/>
          <w:bCs w:val="false"/>
          <w:i w:val="false"/>
          <w:iCs w:val="false"/>
          <w:sz w:val="22"/>
          <w:szCs w:val="22"/>
        </w:rPr>
        <w:t xml:space="preserve">Vul een tabel in met de drie routes uit paragraaf 26.4: wat gebeurt er met het kapitaal, en wat is het directe fiscale gevolg?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Niets doen: premievrije aanspraak blijft in de BV staan, geen directe fiscale afrekening. Afkopen: bedrag ineens aan de DGA, directe afrekening met de Belastingdienst (destijds tegen een tijdelijke korting). Omzetten naar ODV: kapitaal wordt een oprentende verplichting met een uitkeringsfase over twintig jaar vanaf de AOW-leeftijd, geen directe afrekening op het omzettingsmoment maar belastingheffing over de latere uitkeringen.</w:t>
            </w:r>
          </w:p>
        </w:tc>
      </w:tr>
    </w:tbl>
    <w:p>
      <w:pPr>
        <w:spacing w:after="100"/>
      </w:pPr>
    </w:p>
    <w:p>
      <w:pPr>
        <w:pStyle w:val="Heading2"/>
        <w:spacing w:after="120" w:before="200"/>
      </w:pPr>
      <w:r>
        <w:rPr>
          <w:rFonts w:ascii="Georgia" w:cs="Georgia" w:eastAsia="Georgia" w:hAnsi="Georgia"/>
          <w:b/>
          <w:bCs/>
          <w:color w:val="2563A8"/>
          <w:sz w:val="28"/>
          <w:szCs w:val="28"/>
        </w:rPr>
        <w:t xml:space="preserve">Opdracht 26.2 — De ODV doorrekenen</w:t>
      </w:r>
    </w:p>
    <w:p>
      <w:pPr>
        <w:spacing w:after="140" w:line="300"/>
      </w:pPr>
      <w:r>
        <w:rPr>
          <w:rFonts w:ascii="Calibri" w:cs="Calibri" w:eastAsia="Calibri" w:hAnsi="Calibri"/>
          <w:b w:val="false"/>
          <w:bCs w:val="false"/>
          <w:i w:val="false"/>
          <w:iCs w:val="false"/>
          <w:sz w:val="22"/>
          <w:szCs w:val="22"/>
        </w:rPr>
        <w:t xml:space="preserve">Een DGA zette in 2019 een PEB om naar een ODV met een startwaarde van € 180.000. Ga uit van een gemiddeld U-rendement van 2,8% over de oprentingsperiode tot aan zijn AOW-leeftijd in 2031 (twaalf jaar oprenting, vereenvoudigd zonder samengestelde interest exact door te rekenen).</w:t>
      </w:r>
    </w:p>
    <w:p>
      <w:pPr>
        <w:spacing w:after="140" w:line="300"/>
      </w:pPr>
      <w:r>
        <w:rPr>
          <w:rFonts w:ascii="Calibri" w:cs="Calibri" w:eastAsia="Calibri" w:hAnsi="Calibri"/>
          <w:b w:val="false"/>
          <w:bCs w:val="false"/>
          <w:i w:val="false"/>
          <w:iCs w:val="false"/>
          <w:sz w:val="22"/>
          <w:szCs w:val="22"/>
        </w:rPr>
        <w:t xml:space="preserve">a. Wat is ruwweg de opgerente waarde bij aanvang van de uitkering (schat met enkelvoudige rente als vereenvoudiging)?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jaarlijkse uitkering bij een reguliere ingang op de AOW-leeftijd (twintig jaar, zonder verdere oprenting mee te nemen in deze schatting)?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Vereenvoudigd: € 180.000 × (1 + 12 × 2,8%) ≈ € 180.000 × 1,336 ≈ € 240.480. (In werkelijkheid werkt de oprenting samengesteld en varieert het U-rendement per jaar; dit is een grove schatting voor het begrip van de orde van grootte, geen exacte berekening.)</w:t>
      </w:r>
    </w:p>
    <w:p>
      <w:pPr>
        <w:spacing w:after="140" w:line="300"/>
      </w:pPr>
      <w:r>
        <w:rPr>
          <w:rFonts w:ascii="Calibri" w:cs="Calibri" w:eastAsia="Calibri" w:hAnsi="Calibri"/>
          <w:b w:val="false"/>
          <w:bCs w:val="false"/>
          <w:i w:val="false"/>
          <w:iCs w:val="false"/>
          <w:sz w:val="22"/>
          <w:szCs w:val="22"/>
        </w:rPr>
        <w:t xml:space="preserve">b. € 240.480 / 20 ≈ € 12.024 per jaar, vóór de verdere oprenting die tijdens de uitkeringsfase op het resterende saldo blijft doorlopen.</w:t>
      </w:r>
    </w:p>
    <w:p>
      <w:pPr>
        <w:spacing w:after="140" w:line="300"/>
      </w:pPr>
      <w:r>
        <w:rPr>
          <w:rFonts w:ascii="Calibri" w:cs="Calibri" w:eastAsia="Calibri" w:hAnsi="Calibri"/>
          <w:b w:val="false"/>
          <w:bCs w:val="false"/>
          <w:i w:val="false"/>
          <w:iCs w:val="false"/>
          <w:sz w:val="22"/>
          <w:szCs w:val="22"/>
        </w:rPr>
        <w:t xml:space="preserve">Beoordelingslijn: het gaat om het begrijpen van de rekenstructuur (startwaarde → oprenting → deling door de uitkeringsduur), niet om een exacte fiscale berekening — die hoort bij de boekhouder of gespecialiseerd adviseur, zoals de reader zelf aangeeft.</w:t>
      </w:r>
    </w:p>
    <w:p>
      <w:pPr>
        <w:spacing w:after="100"/>
      </w:pPr>
    </w:p>
    <w:p>
      <w:pPr>
        <w:pStyle w:val="Heading2"/>
        <w:spacing w:after="120" w:before="200"/>
      </w:pPr>
      <w:r>
        <w:rPr>
          <w:rFonts w:ascii="Georgia" w:cs="Georgia" w:eastAsia="Georgia" w:hAnsi="Georgia"/>
          <w:b/>
          <w:bCs/>
          <w:color w:val="2563A8"/>
          <w:sz w:val="28"/>
          <w:szCs w:val="28"/>
        </w:rPr>
        <w:t xml:space="preserve">Opdracht 26.3 — Vervroegde ingang</w:t>
      </w:r>
    </w:p>
    <w:p>
      <w:pPr>
        <w:spacing w:after="140" w:line="300"/>
      </w:pPr>
      <w:r>
        <w:rPr>
          <w:rFonts w:ascii="Calibri" w:cs="Calibri" w:eastAsia="Calibri" w:hAnsi="Calibri"/>
          <w:b w:val="false"/>
          <w:bCs w:val="false"/>
          <w:i w:val="false"/>
          <w:iCs w:val="false"/>
          <w:sz w:val="22"/>
          <w:szCs w:val="22"/>
        </w:rPr>
        <w:t xml:space="preserve">Dezelfde DGA overweegt de ODV drie jaar vóór zijn AOW-leeftijd te laten ingaan.</w:t>
      </w:r>
    </w:p>
    <w:p>
      <w:pPr>
        <w:spacing w:after="140" w:line="300"/>
      </w:pPr>
      <w:r>
        <w:rPr>
          <w:rFonts w:ascii="Calibri" w:cs="Calibri" w:eastAsia="Calibri" w:hAnsi="Calibri"/>
          <w:b w:val="false"/>
          <w:bCs w:val="false"/>
          <w:i w:val="false"/>
          <w:iCs w:val="false"/>
          <w:sz w:val="22"/>
          <w:szCs w:val="22"/>
        </w:rPr>
        <w:t xml:space="preserve">a. Is dat toegestaan?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gebeurt er met de uitkeringsduur?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een ODV mag tot vijf jaar vóór het AOW-jaar ingaan.</w:t>
      </w:r>
    </w:p>
    <w:p>
      <w:pPr>
        <w:spacing w:after="140" w:line="300"/>
      </w:pPr>
      <w:r>
        <w:rPr>
          <w:rFonts w:ascii="Calibri" w:cs="Calibri" w:eastAsia="Calibri" w:hAnsi="Calibri"/>
          <w:b w:val="false"/>
          <w:bCs w:val="false"/>
          <w:i w:val="false"/>
          <w:iCs w:val="false"/>
          <w:sz w:val="22"/>
          <w:szCs w:val="22"/>
        </w:rPr>
        <w:t xml:space="preserve">b. De uitkeringsduur wordt verlengd met het aantal jaren vervroeging, dus twintig plus drie is drieëntwintig jaar. Bij eenzelfde opgerente waarde levert dit een lagere jaarlijkse uitkering op dan bij ingang op de AOW-leeftijd zelf — een directe toepassing van dezelfde logica als “vroeger met pensioen bij een gelijk kapitaal levert minder per jaar op” uit deel 13.</w:t>
      </w:r>
    </w:p>
    <w:p>
      <w:pPr>
        <w:spacing w:after="100"/>
      </w:pPr>
    </w:p>
    <w:p>
      <w:pPr>
        <w:pStyle w:val="Heading2"/>
        <w:spacing w:after="120" w:before="200"/>
      </w:pPr>
      <w:r>
        <w:rPr>
          <w:rFonts w:ascii="Georgia" w:cs="Georgia" w:eastAsia="Georgia" w:hAnsi="Georgia"/>
          <w:b/>
          <w:bCs/>
          <w:color w:val="2563A8"/>
          <w:sz w:val="28"/>
          <w:szCs w:val="28"/>
        </w:rPr>
        <w:t xml:space="preserve">Opdracht 26.4 — De partnerbescherming controleren</w:t>
      </w:r>
    </w:p>
    <w:p>
      <w:pPr>
        <w:spacing w:after="140" w:line="300"/>
      </w:pPr>
      <w:r>
        <w:rPr>
          <w:rFonts w:ascii="Calibri" w:cs="Calibri" w:eastAsia="Calibri" w:hAnsi="Calibri"/>
          <w:b w:val="false"/>
          <w:bCs w:val="false"/>
          <w:i w:val="false"/>
          <w:iCs w:val="false"/>
          <w:sz w:val="22"/>
          <w:szCs w:val="22"/>
        </w:rPr>
        <w:t xml:space="preserve">Een adviseur krijgt een DGA-dossier waarin de PEB-omzetting naar een ODV in 2018 heeft plaatsgevonden. Er is geen enkel document over instemming van de partner of over compensatie te vinden in het dossier.</w:t>
      </w:r>
    </w:p>
    <w:p>
      <w:pPr>
        <w:spacing w:after="140" w:line="300"/>
      </w:pPr>
      <w:r>
        <w:rPr>
          <w:rFonts w:ascii="Calibri" w:cs="Calibri" w:eastAsia="Calibri" w:hAnsi="Calibri"/>
          <w:b w:val="false"/>
          <w:bCs w:val="false"/>
          <w:i w:val="false"/>
          <w:iCs w:val="false"/>
          <w:sz w:val="22"/>
          <w:szCs w:val="22"/>
        </w:rPr>
        <w:t xml:space="preserve">a. Is dit een probleem?</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vraag je op, en bij wie?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is het risico als er destijds geen instemming is verkregen, terwijl die wel vereist was?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Potentieel een ernstig probleem — als de DGA op dat moment een partner had in de zin van de Pensioenwet, was schriftelijke instemming vereist voor het prijsgeven van het PEB.</w:t>
      </w:r>
    </w:p>
    <w:p>
      <w:pPr>
        <w:spacing w:after="140" w:line="300"/>
      </w:pPr>
      <w:r>
        <w:rPr>
          <w:rFonts w:ascii="Calibri" w:cs="Calibri" w:eastAsia="Calibri" w:hAnsi="Calibri"/>
          <w:b w:val="false"/>
          <w:bCs w:val="false"/>
          <w:i w:val="false"/>
          <w:iCs w:val="false"/>
          <w:sz w:val="22"/>
          <w:szCs w:val="22"/>
        </w:rPr>
        <w:t xml:space="preserve">b. Vraag bij de DGA zelf en bij zijn (voormalige) adviseur/notaris na of er een instemmingsverklaring en eventuele compensatieafspraak is vastgelegd, en controleer de burgerlijke staat van de DGA op het omzettingsmoment.</w:t>
      </w:r>
    </w:p>
    <w:p>
      <w:pPr>
        <w:spacing w:after="140" w:line="300"/>
      </w:pPr>
      <w:r>
        <w:rPr>
          <w:rFonts w:ascii="Calibri" w:cs="Calibri" w:eastAsia="Calibri" w:hAnsi="Calibri"/>
          <w:b w:val="false"/>
          <w:bCs w:val="false"/>
          <w:i w:val="false"/>
          <w:iCs w:val="false"/>
          <w:sz w:val="22"/>
          <w:szCs w:val="22"/>
        </w:rPr>
        <w:t xml:space="preserve">c. Als vereiste instemming ontbrak, kan de (gewezen) partner mogelijk alsnog aanspraak maken op compensatie voor het verlies van partnerpensioen- en vereveningsrechten — een reëel financieel en juridisch risico dat pas bij een latere scheiding of overlijden concreet wordt, vergelijkbaar met de “stille fout” uit deel 9 die pas jaren later aan het licht komt.</w:t>
      </w:r>
    </w:p>
    <w:p>
      <w:pPr>
        <w:spacing w:after="100"/>
      </w:pPr>
    </w:p>
    <w:p>
      <w:pPr>
        <w:pStyle w:val="Heading2"/>
        <w:spacing w:after="120" w:before="200"/>
      </w:pPr>
      <w:r>
        <w:rPr>
          <w:rFonts w:ascii="Georgia" w:cs="Georgia" w:eastAsia="Georgia" w:hAnsi="Georgia"/>
          <w:b/>
          <w:bCs/>
          <w:color w:val="2563A8"/>
          <w:sz w:val="28"/>
          <w:szCs w:val="28"/>
        </w:rPr>
        <w:t xml:space="preserve">Opdracht 26.5 — Jaarruimte voor een DGA zonder lopende opbouw</w:t>
      </w:r>
    </w:p>
    <w:p>
      <w:pPr>
        <w:spacing w:after="140" w:line="300"/>
      </w:pPr>
      <w:r>
        <w:rPr>
          <w:rFonts w:ascii="Calibri" w:cs="Calibri" w:eastAsia="Calibri" w:hAnsi="Calibri"/>
          <w:b w:val="false"/>
          <w:bCs w:val="false"/>
          <w:i w:val="false"/>
          <w:iCs w:val="false"/>
          <w:sz w:val="22"/>
          <w:szCs w:val="22"/>
        </w:rPr>
        <w:t xml:space="preserve">Een DGA heeft een relevant inkomen van € 95.000 en sinds de uitfasering van zijn PEB in 2018 geen lopende tweedepijleropbouw (Factor A = 0).</w:t>
      </w:r>
    </w:p>
    <w:p>
      <w:pPr>
        <w:spacing w:after="140" w:line="300"/>
      </w:pPr>
      <w:r>
        <w:rPr>
          <w:rFonts w:ascii="Calibri" w:cs="Calibri" w:eastAsia="Calibri" w:hAnsi="Calibri"/>
          <w:b w:val="false"/>
          <w:bCs w:val="false"/>
          <w:i w:val="false"/>
          <w:iCs w:val="false"/>
          <w:sz w:val="22"/>
          <w:szCs w:val="22"/>
        </w:rPr>
        <w:t xml:space="preserve">Bereken zijn jaarruimte voor 2026 volgens de formule uit paragraaf 26.8.</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30% × (€ 95.000 − € 19.172) = 30% × € 75.828 = € 22.748,40. Aangezien Factor A nihil is, hoeft er niets te worden afgetrokken. De uitkomst blijft onder het maximum van € 35.589, dus de volledige jaarruimte van € 22.748,40 staat open voor lijfrente-inleg.</w:t>
            </w:r>
          </w:p>
        </w:tc>
      </w:tr>
    </w:tbl>
    <w:p>
      <w:pPr>
        <w:spacing w:after="100"/>
      </w:pPr>
    </w:p>
    <w:p>
      <w:pPr>
        <w:pStyle w:val="Heading2"/>
        <w:spacing w:after="120" w:before="200"/>
      </w:pPr>
      <w:r>
        <w:rPr>
          <w:rFonts w:ascii="Georgia" w:cs="Georgia" w:eastAsia="Georgia" w:hAnsi="Georgia"/>
          <w:b/>
          <w:bCs/>
          <w:color w:val="2563A8"/>
          <w:sz w:val="28"/>
          <w:szCs w:val="28"/>
        </w:rPr>
        <w:t xml:space="preserve">Opdracht 26.6 — De zzp’er positioneren</w:t>
      </w:r>
    </w:p>
    <w:p>
      <w:pPr>
        <w:spacing w:after="140" w:line="300"/>
      </w:pPr>
      <w:r>
        <w:rPr>
          <w:rFonts w:ascii="Calibri" w:cs="Calibri" w:eastAsia="Calibri" w:hAnsi="Calibri"/>
          <w:b w:val="false"/>
          <w:bCs w:val="false"/>
          <w:i w:val="false"/>
          <w:iCs w:val="false"/>
          <w:sz w:val="22"/>
          <w:szCs w:val="22"/>
        </w:rPr>
        <w:t xml:space="preserve">Een voormalige monteur van Van Doorn Techniek wordt zzp’er en blijft, via een oud-collega-netwerk, af en toe voor zijn oude sector werken.</w:t>
      </w:r>
    </w:p>
    <w:p>
      <w:pPr>
        <w:spacing w:after="140" w:line="300"/>
      </w:pPr>
      <w:r>
        <w:rPr>
          <w:rFonts w:ascii="Calibri" w:cs="Calibri" w:eastAsia="Calibri" w:hAnsi="Calibri"/>
          <w:b w:val="false"/>
          <w:bCs w:val="false"/>
          <w:i w:val="false"/>
          <w:iCs w:val="false"/>
          <w:sz w:val="22"/>
          <w:szCs w:val="22"/>
        </w:rPr>
        <w:t xml:space="preserve">a. Bouwt hij automatisch tweedepijlerpensioen op als zzp’er?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twee routes zijn voor hem denkbaar om toch aanvullend voor zijn pensioen te sparen?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moet hij controleren voordat hij aanneemt dat hij “vrij” is van elke pensioenverplichting?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in de regel niet — een zzp’er bouwt geen verplicht tweedepijlerpensioen op.</w:t>
      </w:r>
    </w:p>
    <w:p>
      <w:pPr>
        <w:spacing w:after="140" w:line="300"/>
      </w:pPr>
      <w:r>
        <w:rPr>
          <w:rFonts w:ascii="Calibri" w:cs="Calibri" w:eastAsia="Calibri" w:hAnsi="Calibri"/>
          <w:b w:val="false"/>
          <w:bCs w:val="false"/>
          <w:i w:val="false"/>
          <w:iCs w:val="false"/>
          <w:sz w:val="22"/>
          <w:szCs w:val="22"/>
        </w:rPr>
        <w:t xml:space="preserve">b. Vrijwillige voortzetting bij zijn vorige bedrijfstakpensioenfonds (indien de voorwaarden dat toestaan) of de derde pijler via lijfrente, met de jaarruimte als rekenkader.</w:t>
      </w:r>
    </w:p>
    <w:p>
      <w:pPr>
        <w:spacing w:after="140" w:line="300"/>
      </w:pPr>
      <w:r>
        <w:rPr>
          <w:rFonts w:ascii="Calibri" w:cs="Calibri" w:eastAsia="Calibri" w:hAnsi="Calibri"/>
          <w:b w:val="false"/>
          <w:bCs w:val="false"/>
          <w:i w:val="false"/>
          <w:iCs w:val="false"/>
          <w:sz w:val="22"/>
          <w:szCs w:val="22"/>
        </w:rPr>
        <w:t xml:space="preserve">c. Of er in zijn sector een verplichtstelling bestaat die ook zelfstandigen raakt — een toepassing van de werkingssfeertoets uit deel 4, nu op zijn eigen positie als zelfstandige in plaats van als werkgever.</w:t>
      </w:r>
    </w:p>
    <w:p>
      <w:pPr>
        <w:spacing w:after="100"/>
      </w:pPr>
    </w:p>
    <w:p>
      <w:pPr>
        <w:pStyle w:val="Heading2"/>
        <w:spacing w:after="120" w:before="200"/>
      </w:pPr>
      <w:r>
        <w:rPr>
          <w:rFonts w:ascii="Georgia" w:cs="Georgia" w:eastAsia="Georgia" w:hAnsi="Georgia"/>
          <w:b/>
          <w:bCs/>
          <w:color w:val="2563A8"/>
          <w:sz w:val="28"/>
          <w:szCs w:val="28"/>
        </w:rPr>
        <w:t xml:space="preserve">Opdracht 26.7 — Ferdi’s dossier compleet maken</w:t>
      </w:r>
    </w:p>
    <w:p>
      <w:pPr>
        <w:spacing w:after="140" w:line="300"/>
      </w:pPr>
      <w:r>
        <w:rPr>
          <w:rFonts w:ascii="Calibri" w:cs="Calibri" w:eastAsia="Calibri" w:hAnsi="Calibri"/>
          <w:b w:val="false"/>
          <w:bCs w:val="false"/>
          <w:i w:val="false"/>
          <w:iCs w:val="false"/>
          <w:sz w:val="22"/>
          <w:szCs w:val="22"/>
        </w:rPr>
        <w:t xml:space="preserve">Stel voor Ferdi van Doorn een korte notitie op (maximaal een half A4) die de drie openstaande vragen uit paragraaf 26.10 beantwoordt met concrete vervolgacties (geen inhoudelijke antwoorden — die zijn niet gegeven in de casus — maar een actieplan om ze te beantwoorden).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voor elke van de drie vragen staat een concrete, uitvoerbare actie (bijvoorbeeld: “de notariële akte en eventuele instemmingsverklaring van Ferdi’s echtgenote uit 2018 opvragen”; “Ferdi’s belastingaangiftes van de afgelopen jaren controleren op lijfrentepremie-aftrek”; “een korte vergelijking maken tussen voortzetting van de ODV en eventuele aansluiting bij de nieuwe Van Doorn-regeling voor het deel van zijn inkomen dat daarvoor in aanmerking komt”). Een sterke notitie erkent expliciet dat dit, net als in deel 25, een moment kan zijn om door te verwijzen naar een fiscalist gespecialiseerd in DGA-vraagstukken, in plaats van dit zelf volledig af te handelen.</w:t>
            </w:r>
          </w:p>
        </w:tc>
      </w:tr>
    </w:tbl>
    <w:p>
      <w:pPr>
        <w:spacing w:after="100"/>
      </w:pPr>
    </w:p>
    <w:p>
      <w:pPr>
        <w:pStyle w:val="Heading2"/>
        <w:spacing w:after="120" w:before="200"/>
      </w:pPr>
      <w:r>
        <w:rPr>
          <w:rFonts w:ascii="Georgia" w:cs="Georgia" w:eastAsia="Georgia" w:hAnsi="Georgia"/>
          <w:b/>
          <w:bCs/>
          <w:color w:val="2563A8"/>
          <w:sz w:val="28"/>
          <w:szCs w:val="28"/>
        </w:rPr>
        <w:t xml:space="preserve">Opdracht 26.8 — Terugkoppeling naar de hele cursus</w:t>
      </w:r>
    </w:p>
    <w:p>
      <w:pPr>
        <w:spacing w:after="140" w:line="300"/>
      </w:pPr>
      <w:r>
        <w:rPr>
          <w:rFonts w:ascii="Calibri" w:cs="Calibri" w:eastAsia="Calibri" w:hAnsi="Calibri"/>
          <w:b w:val="false"/>
          <w:bCs w:val="false"/>
          <w:i w:val="false"/>
          <w:iCs w:val="false"/>
          <w:sz w:val="22"/>
          <w:szCs w:val="22"/>
        </w:rPr>
        <w:t xml:space="preserve">Noem twee eerdere delen waarin het drieluik (wie belooft wat, wie voert uit, wie draagt het risico) al impliciet relevant was voor het begrijpen van een PEB/ODV-constructie, en licht kort toe.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Deel 1 (het drieluik zelf): bij PEB was de BV tegelijk belofte-doener én uitvoerder én risicodrager — een fundamenteel andere constellatie dan bij elke andere in deze cursus behandelde regeling, waar deze drie rollen over verschillende partijen zijn verdeeld. Dat verklaart in essentie waarom PEB zoveel fiscale en juridische complicaties opleverde en uiteindelijk moest worden afgeschaft. Deel 9 (waardeoverdracht en verevening): de partnerbescherming bij ODV-omzetting is een direct, DGA-specifiek equivalent van de verevenings- en bijzonder-partnerpensioenmechanismen die daar voor reguliere werknemers werden behandeld.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2026-08-17T11:22:46.063Z</dcterms:created>
  <dcterms:modified xsi:type="dcterms:W3CDTF">2026-08-17T11:22:46.063Z</dcterms:modified>
</cp:coreProperties>
</file>

<file path=docProps/custom.xml><?xml version="1.0" encoding="utf-8"?>
<Properties xmlns="http://schemas.openxmlformats.org/officeDocument/2006/custom-properties" xmlns:vt="http://schemas.openxmlformats.org/officeDocument/2006/docPropsVTypes"/>
</file>