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27 — Docentenhandleiding</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27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Dit deel draait het perspectief van de hele cursus om: 26 delen lang keken deelnemers naar Meridiaan als leverancier; vandaag kijken zij mee over de schouder van Meridiaan zelf. Twee dingen moeten landen:</w:t>
      </w:r>
    </w:p>
    <w:p>
      <w:pPr>
        <w:pStyle w:val="ListParagraph"/>
        <w:numPr>
          <w:ilvl w:val="0"/>
          <w:numId w:val="1"/>
        </w:numPr>
        <w:spacing w:after="80"/>
      </w:pPr>
      <w:r>
        <w:rPr>
          <w:rFonts w:ascii="Calibri" w:cs="Calibri" w:eastAsia="Calibri" w:hAnsi="Calibri"/>
          <w:sz w:val="22"/>
          <w:szCs w:val="22"/>
        </w:rPr>
        <w:t xml:space="preserve">1. De doelgroepbepaling is een regulatoire eis, geen marketingdetail — en zij verbindt rechtstreeks met de zorgplicht uit deel 18.</w:t>
      </w:r>
    </w:p>
    <w:p>
      <w:pPr>
        <w:pStyle w:val="ListParagraph"/>
        <w:numPr>
          <w:ilvl w:val="0"/>
          <w:numId w:val="1"/>
        </w:numPr>
        <w:spacing w:after="80"/>
      </w:pPr>
      <w:r>
        <w:rPr>
          <w:rFonts w:ascii="Calibri" w:cs="Calibri" w:eastAsia="Calibri" w:hAnsi="Calibri"/>
          <w:sz w:val="22"/>
          <w:szCs w:val="22"/>
        </w:rPr>
        <w:t xml:space="preserve">2. De spanning tussen actuariaat en commercie is gezond, mits gestructureerd — geen storing die moet worden weggenomen.</w:t>
      </w:r>
    </w:p>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Perspectiefwissel, opdracht 27.1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Marktsignaal en segmentatie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Doelgroepbepaling, opdracht 27.2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kern deel 1</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1:15–1:40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Actuariële prijsstelling, opdracht 27.3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1:40–2:05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spanning actuariaat-commercie, opdracht 27.4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 kern deel 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zeven stappen, opdracht 27.5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2:30–2:50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Toepassing op Van Doorn, opdracht 27.6 en 27.7</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Reflectie, opdracht 27.8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Openen.</w:t>
      </w:r>
      <w:r>
        <w:rPr>
          <w:rFonts w:ascii="Calibri" w:cs="Calibri" w:eastAsia="Calibri" w:hAnsi="Calibri"/>
          <w:b w:val="false"/>
          <w:bCs w:val="false"/>
          <w:i w:val="false"/>
          <w:iCs w:val="false"/>
          <w:sz w:val="22"/>
          <w:szCs w:val="22"/>
        </w:rPr>
        <w:t xml:space="preserve"> Laat opdracht 27.1 als opwarmer dienen: haal drie concrete beslissingen uit eerdere delen op en laat de groep ze “omdraaien” naar het Meridiaan-perspectief. Dit maakt tastbaar wat een perspectiefwissel in de praktijk betekent, vóórdat de nieuwe stof begint.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Marktsignaal en segmentatie.</w:t>
      </w:r>
      <w:r>
        <w:rPr>
          <w:rFonts w:ascii="Calibri" w:cs="Calibri" w:eastAsia="Calibri" w:hAnsi="Calibri"/>
          <w:b w:val="false"/>
          <w:bCs w:val="false"/>
          <w:i w:val="false"/>
          <w:iCs w:val="false"/>
          <w:sz w:val="22"/>
          <w:szCs w:val="22"/>
        </w:rPr>
        <w:t xml:space="preserve"> Kort. Het punt: productontwikkeling begint bij marktbehoefte, niet bij een actuariële tabel — een bewuste omkering van de volgorde die deelnemers tot nu toe gewend waren (eerst de regel, dan de toepassing).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Doelgroepbepaling — eerste kern van het dagdeel.</w:t>
      </w:r>
      <w:r>
        <w:rPr>
          <w:rFonts w:ascii="Calibri" w:cs="Calibri" w:eastAsia="Calibri" w:hAnsi="Calibri"/>
          <w:b w:val="false"/>
          <w:bCs w:val="false"/>
          <w:i w:val="false"/>
          <w:iCs w:val="false"/>
          <w:sz w:val="22"/>
          <w:szCs w:val="22"/>
        </w:rPr>
        <w:t xml:space="preserve"> Besteed hier serieuze tijd aan. Het punt dat moet landen: dit is geen vrijblijvende marketingkeuze maar een regulatoire eis die teruggrijpt op de zorgplichtgedachte uit deel 18. Bij opdracht 27.2: laat de groep expliciet “voor wie niet” formuleren, niet alleen “voor wie wel” — een doelgroepbepaling zonder uitsluiting is geen echte bepaling.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Actuariële prijsstelling.</w:t>
      </w:r>
      <w:r>
        <w:rPr>
          <w:rFonts w:ascii="Calibri" w:cs="Calibri" w:eastAsia="Calibri" w:hAnsi="Calibri"/>
          <w:b w:val="false"/>
          <w:bCs w:val="false"/>
          <w:i w:val="false"/>
          <w:iCs w:val="false"/>
          <w:sz w:val="22"/>
          <w:szCs w:val="22"/>
        </w:rPr>
        <w:t xml:space="preserve"> Introduceer de drie factoren (mortaliteit, kosten, concurrentie) als een vast drieluik, vergelijkbaar in functie met andere drieledige instrumenten door de cursus heen (het drieluik uit deel 1, de driestappentoets uit deel 22). Bij opdracht 27.3: laat zien dat een prijswijziging zelden geïsoleerd blijft — zij werkt door op de andere twee factoren.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spanning actuariaat-commercie — tweede kern van het dagdeel.</w:t>
      </w:r>
      <w:r>
        <w:rPr>
          <w:rFonts w:ascii="Calibri" w:cs="Calibri" w:eastAsia="Calibri" w:hAnsi="Calibri"/>
          <w:b w:val="false"/>
          <w:bCs w:val="false"/>
          <w:i w:val="false"/>
          <w:iCs w:val="false"/>
          <w:sz w:val="22"/>
          <w:szCs w:val="22"/>
        </w:rPr>
        <w:t xml:space="preserve"> Dit is het meest memorabele onderdeel. Speel het gesprek uit opdracht 27.4 desnoods als kort rollenspel: één deelnemer als commerciële manager, één als actuaris, de rest van de groep bemiddelt naar een gezonde uitkomst. Het te vermijden resultaat: dat een van beide partijen zonder meer wint. Trek de parallel met deel 25 expliciet: dezelfde logica als de scheiding tussen risicobeheer en interne audit, nu in een commerciële in plaats van een governance-context.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zeven stappen.</w:t>
      </w:r>
      <w:r>
        <w:rPr>
          <w:rFonts w:ascii="Calibri" w:cs="Calibri" w:eastAsia="Calibri" w:hAnsi="Calibri"/>
          <w:b w:val="false"/>
          <w:bCs w:val="false"/>
          <w:i w:val="false"/>
          <w:iCs w:val="false"/>
          <w:sz w:val="22"/>
          <w:szCs w:val="22"/>
        </w:rPr>
        <w:t xml:space="preserve"> Bij opdracht 27.5: laat de groep de ontbrekende stap (compliance- en juridische toetsing) zelf missen en dan zelf ontdekken — dat is leerzamer dan het meteen te noemen. Benadruk stap 7 (monitoring) als het minst voor de hand liggende, maar structureel belangrijkste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Toepassing op Van Doorn.</w:t>
      </w:r>
      <w:r>
        <w:rPr>
          <w:rFonts w:ascii="Calibri" w:cs="Calibri" w:eastAsia="Calibri" w:hAnsi="Calibri"/>
          <w:b w:val="false"/>
          <w:bCs w:val="false"/>
          <w:i w:val="false"/>
          <w:iCs w:val="false"/>
          <w:sz w:val="22"/>
          <w:szCs w:val="22"/>
        </w:rPr>
        <w:t xml:space="preserve"> Sluit de cirkel met deel 14: dezelfde Route A/B-vraag, nu bekeken vanuit “past Van Doorn wel bij wat Meridiaan eigenlijk wilde bouwen?” Bij opdracht 27.7: dit scenario (product blijkt buiten de bedoelde doelgroep te worden verkocht) is een realistisch, herkenbaar risico en verdient een concrete, actiegerichte bespreking.</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dit onderwerp relevant voor een adviseur die nooit voor een verzekeraar werkt?”</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Zeker — een adviseur die begrijpt hoe productontwikkeling werkt, doorziet een offerte beter, herkent waarom bepaalde producten voor bepaalde werkgevers worden aangeboden, en kan gerichter doorvragen bij een uitvoerder.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“Geldt de doelgroepbepaling ook voor fondsen, niet alleen verzekeraars?”</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Fondsen kennen een andere governance-structuur (deel 16, 24, 25) zonder eenzelfde commerciële productontwikkelingscyclus, maar het onderliggende principe — een regeling moet passen bij het bestand waarvoor zij is bedoeld — geldt in de kern ook daar, alleen via andere instrumenten (de evenwichtige belangenafweging in plaats van een geformaliseerde doelgroepbepaling).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“Wie controleert of een verzekeraar zich aan zijn eigen doelgroepbepaling houdt?”</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In de eerste plaats de verzekeraar zelf via zijn eigen governance en monitoring; in bredere zin valt dit binnen het toezicht van de AFM op productgovernance en zorgplicht (deel 20).</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Het zevenstappenschema als flap of poster</w:t>
      </w:r>
    </w:p>
    <w:p>
      <w:pPr>
        <w:pStyle w:val="ListParagraph"/>
        <w:numPr>
          <w:ilvl w:val="0"/>
          <w:numId w:val="1"/>
        </w:numPr>
        <w:spacing w:after="80"/>
      </w:pPr>
      <w:r>
        <w:rPr>
          <w:rFonts w:ascii="Calibri" w:cs="Calibri" w:eastAsia="Calibri" w:hAnsi="Calibri"/>
          <w:sz w:val="22"/>
          <w:szCs w:val="22"/>
        </w:rPr>
        <w:t xml:space="preserve">Rolkaartjes voor het rollenspel bij opdracht 27.4</w:t>
      </w:r>
    </w:p>
    <w:p>
      <w:pPr>
        <w:pStyle w:val="ListParagraph"/>
        <w:numPr>
          <w:ilvl w:val="0"/>
          <w:numId w:val="1"/>
        </w:numPr>
        <w:spacing w:after="80"/>
      </w:pPr>
      <w:r>
        <w:rPr>
          <w:rFonts w:ascii="Calibri" w:cs="Calibri" w:eastAsia="Calibri" w:hAnsi="Calibri"/>
          <w:sz w:val="22"/>
          <w:szCs w:val="22"/>
        </w:rPr>
        <w:t xml:space="preserve">Een fictief maar realistisch voorbeeld van een doelgroepbepaling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opdracht 27.6, 27.7 en 27.8. Kondig deel 28 aan: de prijsstellingsfactor die tot nu toe onbehandeld bleef — hoe wordt levensverwachting precies bepaald, en wat is het langlevenrisico?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2026-08-17T11:22:46.157Z</dcterms:created>
  <dcterms:modified xsi:type="dcterms:W3CDTF">2026-08-17T11:22:46.157Z</dcterms:modified>
</cp:coreProperties>
</file>

<file path=docProps/custom.xml><?xml version="1.0" encoding="utf-8"?>
<Properties xmlns="http://schemas.openxmlformats.org/officeDocument/2006/custom-properties" xmlns:vt="http://schemas.openxmlformats.org/officeDocument/2006/docPropsVTypes"/>
</file>