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27 — Productontwikkeling bij een pensioenverzekeraar</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27 — Productontwikkeling bij een pensioenverzekeraar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27.1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perspectief van de uitvoerder onderscheiden van dat van de adviseur en de werkgever;</w:t>
      </w:r>
    </w:p>
    <w:p>
      <w:pPr>
        <w:pStyle w:val="ListParagraph"/>
        <w:numPr>
          <w:ilvl w:val="0"/>
          <w:numId w:val="1"/>
        </w:numPr>
        <w:spacing w:after="80"/>
      </w:pPr>
      <w:r>
        <w:rPr>
          <w:rFonts w:ascii="Calibri" w:cs="Calibri" w:eastAsia="Calibri" w:hAnsi="Calibri"/>
          <w:sz w:val="22"/>
          <w:szCs w:val="22"/>
        </w:rPr>
        <w:t xml:space="preserve">2. de stappen van productontwikkeling bij een verzekeraar beschrijven, van marktbehoefte tot lancering;</w:t>
      </w:r>
    </w:p>
    <w:p>
      <w:pPr>
        <w:pStyle w:val="ListParagraph"/>
        <w:numPr>
          <w:ilvl w:val="0"/>
          <w:numId w:val="1"/>
        </w:numPr>
        <w:spacing w:after="80"/>
      </w:pPr>
      <w:r>
        <w:rPr>
          <w:rFonts w:ascii="Calibri" w:cs="Calibri" w:eastAsia="Calibri" w:hAnsi="Calibri"/>
          <w:sz w:val="22"/>
          <w:szCs w:val="22"/>
        </w:rPr>
        <w:t xml:space="preserve">3. de doelgroepbepaling (target market) als regulatoire eis plaatsen;</w:t>
      </w:r>
    </w:p>
    <w:p>
      <w:pPr>
        <w:pStyle w:val="ListParagraph"/>
        <w:numPr>
          <w:ilvl w:val="0"/>
          <w:numId w:val="1"/>
        </w:numPr>
        <w:spacing w:after="80"/>
      </w:pPr>
      <w:r>
        <w:rPr>
          <w:rFonts w:ascii="Calibri" w:cs="Calibri" w:eastAsia="Calibri" w:hAnsi="Calibri"/>
          <w:sz w:val="22"/>
          <w:szCs w:val="22"/>
        </w:rPr>
        <w:t xml:space="preserve">4. de prijsstellingsoverwegingen (mortaliteit, kosten, concurrentie, marge) benoemen;</w:t>
      </w:r>
    </w:p>
    <w:p>
      <w:pPr>
        <w:pStyle w:val="ListParagraph"/>
        <w:numPr>
          <w:ilvl w:val="0"/>
          <w:numId w:val="1"/>
        </w:numPr>
        <w:spacing w:after="80"/>
      </w:pPr>
      <w:r>
        <w:rPr>
          <w:rFonts w:ascii="Calibri" w:cs="Calibri" w:eastAsia="Calibri" w:hAnsi="Calibri"/>
          <w:sz w:val="22"/>
          <w:szCs w:val="22"/>
        </w:rPr>
        <w:t xml:space="preserve">5. de spanning tussen commerciële en actuariële belangen bij productontwikkeling herkennen;</w:t>
      </w:r>
    </w:p>
    <w:p>
      <w:pPr>
        <w:pStyle w:val="ListParagraph"/>
        <w:numPr>
          <w:ilvl w:val="0"/>
          <w:numId w:val="1"/>
        </w:numPr>
        <w:spacing w:after="80"/>
      </w:pPr>
      <w:r>
        <w:rPr>
          <w:rFonts w:ascii="Calibri" w:cs="Calibri" w:eastAsia="Calibri" w:hAnsi="Calibri"/>
          <w:sz w:val="22"/>
          <w:szCs w:val="22"/>
        </w:rPr>
        <w:t xml:space="preserve">6. een productvoorstel voor Meridiaan beoordelen op interne consistentie.</w:t>
      </w:r>
    </w:p>
    <w:p>
      <w:pPr>
        <w:spacing w:after="100"/>
      </w:pPr>
    </w:p>
    <w:p>
      <w:pPr>
        <w:pStyle w:val="Heading2"/>
        <w:spacing w:after="120" w:before="200"/>
      </w:pPr>
      <w:r>
        <w:rPr>
          <w:rFonts w:ascii="Georgia" w:cs="Georgia" w:eastAsia="Georgia" w:hAnsi="Georgia"/>
          <w:b/>
          <w:bCs/>
          <w:color w:val="2563A8"/>
          <w:sz w:val="28"/>
          <w:szCs w:val="28"/>
        </w:rPr>
        <w:t xml:space="preserve">27.2 Perspectiefwissel: van klant naar leverancier</w:t>
      </w:r>
    </w:p>
    <w:p>
      <w:pPr>
        <w:spacing w:after="140" w:line="300"/>
      </w:pPr>
      <w:r>
        <w:rPr>
          <w:rFonts w:ascii="Calibri" w:cs="Calibri" w:eastAsia="Calibri" w:hAnsi="Calibri"/>
          <w:b w:val="false"/>
          <w:bCs w:val="false"/>
          <w:i w:val="false"/>
          <w:iCs w:val="false"/>
          <w:sz w:val="22"/>
          <w:szCs w:val="22"/>
        </w:rPr>
        <w:t xml:space="preserve">Deze cursus heeft Meridiaan Pensioen N.V. door 26 delen heen gezien als </w:t>
      </w:r>
      <w:r>
        <w:rPr>
          <w:rFonts w:ascii="Calibri" w:cs="Calibri" w:eastAsia="Calibri" w:hAnsi="Calibri"/>
          <w:b w:val="false"/>
          <w:bCs w:val="false"/>
          <w:i/>
          <w:iCs/>
          <w:sz w:val="22"/>
          <w:szCs w:val="22"/>
        </w:rPr>
        <w:t xml:space="preserve">uitvoerder</w:t>
      </w:r>
      <w:r>
        <w:rPr>
          <w:rFonts w:ascii="Calibri" w:cs="Calibri" w:eastAsia="Calibri" w:hAnsi="Calibri"/>
          <w:b w:val="false"/>
          <w:bCs w:val="false"/>
          <w:i w:val="false"/>
          <w:iCs w:val="false"/>
          <w:sz w:val="22"/>
          <w:szCs w:val="22"/>
        </w:rPr>
        <w:t xml:space="preserve"> — de partij die een offerte maakt, een contract levert, en producten aanbiedt die door Van Doorn en zijn adviseur worden beoordeeld (deel 12, 14). Dit deel draait het perspectief om: hoe komt zo’n product eigenlijk tot stand, ván de kant van Meridiaan zelf?</w:t>
      </w:r>
    </w:p>
    <w:p>
      <w:pPr>
        <w:spacing w:after="140" w:line="300"/>
      </w:pPr>
      <w:r>
        <w:rPr>
          <w:rFonts w:ascii="Calibri" w:cs="Calibri" w:eastAsia="Calibri" w:hAnsi="Calibri"/>
          <w:b w:val="false"/>
          <w:bCs w:val="false"/>
          <w:i w:val="false"/>
          <w:iCs w:val="false"/>
          <w:sz w:val="22"/>
          <w:szCs w:val="22"/>
        </w:rPr>
        <w:t xml:space="preserve">Voor een adviseur is dit geen overbodige luxe. Wie begrijpt hoe een product tot stand komt — welke afwegingen erin zitten, waar de marges liggen, welke beperkingen de verzekeraar zelf ervaart — beoordeelt een offerte scherper dan wie alleen de uitkomst ziet.</w:t>
      </w:r>
    </w:p>
    <w:p>
      <w:pPr>
        <w:spacing w:after="100"/>
      </w:pPr>
    </w:p>
    <w:p>
      <w:pPr>
        <w:pStyle w:val="Heading2"/>
        <w:spacing w:after="120" w:before="200"/>
      </w:pPr>
      <w:r>
        <w:rPr>
          <w:rFonts w:ascii="Georgia" w:cs="Georgia" w:eastAsia="Georgia" w:hAnsi="Georgia"/>
          <w:b/>
          <w:bCs/>
          <w:color w:val="2563A8"/>
          <w:sz w:val="28"/>
          <w:szCs w:val="28"/>
        </w:rPr>
        <w:t xml:space="preserve">27.3 De aanleiding: een marktbehoefte signaleren</w:t>
      </w:r>
    </w:p>
    <w:p>
      <w:pPr>
        <w:spacing w:after="140" w:line="300"/>
      </w:pPr>
      <w:r>
        <w:rPr>
          <w:rFonts w:ascii="Calibri" w:cs="Calibri" w:eastAsia="Calibri" w:hAnsi="Calibri"/>
          <w:b w:val="false"/>
          <w:bCs w:val="false"/>
          <w:i w:val="false"/>
          <w:iCs w:val="false"/>
          <w:sz w:val="22"/>
          <w:szCs w:val="22"/>
        </w:rPr>
        <w:t xml:space="preserve">Productontwikkeling begint niet bij de actuaris maar bij een gesignaleerde behoefte. Voor Meridiaan, medio jaren '20, was die aanleiding overduidelijk: de Wtp-transitie (deel 5, 15) creëerde in korte tijd vraag naar honderden nieuwe of aangepaste regelingen bij duizenden werkgevers zoals Van Doorn.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Segmentatie van de markt.</w:t>
      </w:r>
      <w:r>
        <w:rPr>
          <w:rFonts w:ascii="Calibri" w:cs="Calibri" w:eastAsia="Calibri" w:hAnsi="Calibri"/>
          <w:b w:val="false"/>
          <w:bCs w:val="false"/>
          <w:i w:val="false"/>
          <w:iCs w:val="false"/>
          <w:sz w:val="22"/>
          <w:szCs w:val="22"/>
        </w:rPr>
        <w:t xml:space="preserve"> Meridiaan moet kiezen: richt zij zich op kleine werkgevers (zoals Van Doorn, 85 medewerkers), middelgrote, of grote corporates? Elk segment vraagt een andere balans tussen standaardisatie (lage kosten, snelle doorlooptijd) en maatwerk (hogere kosten, meer flexibiliteit). Deel 14 liet al zien dat het kritieke pad van een implementatie maanden beslaat — een verzekeraar die alleen maatwerk aanbiedt, kan de markt van kleinere werkgevers simpelweg niet snel genoeg bedienen.</w:t>
      </w:r>
    </w:p>
    <w:p>
      <w:pPr>
        <w:spacing w:after="100"/>
      </w:pPr>
    </w:p>
    <w:p>
      <w:pPr>
        <w:pStyle w:val="Heading2"/>
        <w:spacing w:after="120" w:before="200"/>
      </w:pPr>
      <w:r>
        <w:rPr>
          <w:rFonts w:ascii="Georgia" w:cs="Georgia" w:eastAsia="Georgia" w:hAnsi="Georgia"/>
          <w:b/>
          <w:bCs/>
          <w:color w:val="2563A8"/>
          <w:sz w:val="28"/>
          <w:szCs w:val="28"/>
        </w:rPr>
        <w:t xml:space="preserve">27.4 De doelgroepbepaling: een regulatoire eis, geen marketingkeuze</w:t>
      </w:r>
    </w:p>
    <w:p>
      <w:pPr>
        <w:spacing w:after="140" w:line="300"/>
      </w:pPr>
      <w:r>
        <w:rPr>
          <w:rFonts w:ascii="Calibri" w:cs="Calibri" w:eastAsia="Calibri" w:hAnsi="Calibri"/>
          <w:b w:val="false"/>
          <w:bCs w:val="false"/>
          <w:i w:val="false"/>
          <w:iCs w:val="false"/>
          <w:sz w:val="22"/>
          <w:szCs w:val="22"/>
        </w:rPr>
        <w:t xml:space="preserve">Onder de Europese regelgeving voor productgovernance (vergelijkbaar met de IDD — Insurance Distribution Directive — die ook voor pensioenverzekeringsproducten relevant is) moet een verzekeraar bij de ontwikkeling van elk product vooraf een </w:t>
      </w:r>
      <w:r>
        <w:rPr>
          <w:rFonts w:ascii="Calibri" w:cs="Calibri" w:eastAsia="Calibri" w:hAnsi="Calibri"/>
          <w:b/>
          <w:bCs/>
          <w:i w:val="false"/>
          <w:iCs w:val="false"/>
          <w:sz w:val="22"/>
          <w:szCs w:val="22"/>
        </w:rPr>
        <w:t xml:space="preserve">doelgroep (target market)</w:t>
      </w:r>
      <w:r>
        <w:rPr>
          <w:rFonts w:ascii="Calibri" w:cs="Calibri" w:eastAsia="Calibri" w:hAnsi="Calibri"/>
          <w:b w:val="false"/>
          <w:bCs w:val="false"/>
          <w:i w:val="false"/>
          <w:iCs w:val="false"/>
          <w:sz w:val="22"/>
          <w:szCs w:val="22"/>
        </w:rPr>
        <w:t xml:space="preserve"> bepalen: voor welke klanten is dit product geschikt, en voor welke nadrukkelijk niet?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dit meer is dan marketing.</w:t>
      </w:r>
      <w:r>
        <w:rPr>
          <w:rFonts w:ascii="Calibri" w:cs="Calibri" w:eastAsia="Calibri" w:hAnsi="Calibri"/>
          <w:b w:val="false"/>
          <w:bCs w:val="false"/>
          <w:i w:val="false"/>
          <w:iCs w:val="false"/>
          <w:sz w:val="22"/>
          <w:szCs w:val="22"/>
        </w:rPr>
        <w:t xml:space="preserve"> Dit is een directe uitwerking van de zorgplichtgedachte uit deel 18, nu toegepast op het product zelf in plaats van op het individuele adviestraject. Een verzekeraar die een garantiecontract (deel 12) ontwikkelt zonder vooraf te bepalen voor welk type werkgeversbestand dat passend is, loopt het risico dat het product bij verkeerde klanten terechtkomt — bijvoorbeeld een garantieproduct dat aan een jong, dynamisch bestand wordt verkocht terwijl het primair is ontworpen voor een ouder, risicomijdend bestand (deel 12, paragraaf 12.7).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koppeling met de distributieketen.</w:t>
      </w:r>
      <w:r>
        <w:rPr>
          <w:rFonts w:ascii="Calibri" w:cs="Calibri" w:eastAsia="Calibri" w:hAnsi="Calibri"/>
          <w:b w:val="false"/>
          <w:bCs w:val="false"/>
          <w:i w:val="false"/>
          <w:iCs w:val="false"/>
          <w:sz w:val="22"/>
          <w:szCs w:val="22"/>
        </w:rPr>
        <w:t xml:space="preserve"> De doelgroepbepaling moet niet alleen bij de verzekeraar zelf bekend zijn, maar ook worden gedeeld met de adviseurs die het product distribueren (deel 18) — zodat Joost Meiland, wanneer hij een offerte van Meridiaan beoordeelt, kan toetsen of Van Doorns bestand daadwerkelijk binnen de bedoelde doelgroep van dat specifieke product valt.</w:t>
      </w:r>
    </w:p>
    <w:p>
      <w:pPr>
        <w:spacing w:after="100"/>
      </w:pPr>
    </w:p>
    <w:p>
      <w:pPr>
        <w:pStyle w:val="Heading2"/>
        <w:spacing w:after="120" w:before="200"/>
      </w:pPr>
      <w:r>
        <w:rPr>
          <w:rFonts w:ascii="Georgia" w:cs="Georgia" w:eastAsia="Georgia" w:hAnsi="Georgia"/>
          <w:b/>
          <w:bCs/>
          <w:color w:val="2563A8"/>
          <w:sz w:val="28"/>
          <w:szCs w:val="28"/>
        </w:rPr>
        <w:t xml:space="preserve">27.5 Actuariële prijsstelling</w:t>
      </w:r>
    </w:p>
    <w:p>
      <w:pPr>
        <w:spacing w:after="140" w:line="300"/>
      </w:pPr>
      <w:r>
        <w:rPr>
          <w:rFonts w:ascii="Calibri" w:cs="Calibri" w:eastAsia="Calibri" w:hAnsi="Calibri"/>
          <w:b w:val="false"/>
          <w:bCs w:val="false"/>
          <w:i w:val="false"/>
          <w:iCs w:val="false"/>
          <w:sz w:val="22"/>
          <w:szCs w:val="22"/>
        </w:rPr>
        <w:t xml:space="preserve">Terug naar deel 24 en 28 (dat na dit deel volgt): de prijsstelling van een pensioenproduct hangt af van drie hoofdfactoren.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 Mortaliteitsaannames.</w:t>
      </w:r>
      <w:r>
        <w:rPr>
          <w:rFonts w:ascii="Calibri" w:cs="Calibri" w:eastAsia="Calibri" w:hAnsi="Calibri"/>
          <w:b w:val="false"/>
          <w:bCs w:val="false"/>
          <w:i w:val="false"/>
          <w:iCs w:val="false"/>
          <w:sz w:val="22"/>
          <w:szCs w:val="22"/>
        </w:rPr>
        <w:t xml:space="preserve"> Voor risicodekkingen (deel 8) en voor de inkoop van levenslange uitkeringen (deel 13) rekent Meridiaan met een prognosetafel voor levensverwachting — een onderwerp dat in deel 28 volledig wordt uitgewerkt. Een te optimistische aanname (mensen leven langer dan verwacht) ondermijnt de financiële soliditeit; een te pessimistische aanname maakt het product duurder dan concurrerend nodig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 Kostenopslagen.</w:t>
      </w:r>
      <w:r>
        <w:rPr>
          <w:rFonts w:ascii="Calibri" w:cs="Calibri" w:eastAsia="Calibri" w:hAnsi="Calibri"/>
          <w:b w:val="false"/>
          <w:bCs w:val="false"/>
          <w:i w:val="false"/>
          <w:iCs w:val="false"/>
          <w:sz w:val="22"/>
          <w:szCs w:val="22"/>
        </w:rPr>
        <w:t xml:space="preserve"> Naast de zuivere risicoprijs komen administratie-, distributie- en beheerkosten (deel 12, TER en poliskosten) bovenop de premie. Hier ligt een directe spanning: lagere kosten maken het product aantrekkelijker in een offertevergelijking (deel 14), maar drukken de marge van Meridiaan zelf.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 Concurrentiepositie.</w:t>
      </w:r>
      <w:r>
        <w:rPr>
          <w:rFonts w:ascii="Calibri" w:cs="Calibri" w:eastAsia="Calibri" w:hAnsi="Calibri"/>
          <w:b w:val="false"/>
          <w:bCs w:val="false"/>
          <w:i w:val="false"/>
          <w:iCs w:val="false"/>
          <w:sz w:val="22"/>
          <w:szCs w:val="22"/>
        </w:rPr>
        <w:t xml:space="preserve"> Meridiaan prijst niet in een vacuüm. Als een concurrent een vergelijkbaar product goedkoper aanbiedt, staat Meridiaan voor de keuze: de marge verlagen, het product differentiëren (bijvoorbeeld via een betere waarborgbepaling zoals in deel 14 besproken), of het segment aan de concurrent laten.</w:t>
      </w:r>
    </w:p>
    <w:p>
      <w:pPr>
        <w:spacing w:after="100"/>
      </w:pPr>
    </w:p>
    <w:p>
      <w:pPr>
        <w:pStyle w:val="Heading2"/>
        <w:spacing w:after="120" w:before="200"/>
      </w:pPr>
      <w:r>
        <w:rPr>
          <w:rFonts w:ascii="Georgia" w:cs="Georgia" w:eastAsia="Georgia" w:hAnsi="Georgia"/>
          <w:b/>
          <w:bCs/>
          <w:color w:val="2563A8"/>
          <w:sz w:val="28"/>
          <w:szCs w:val="28"/>
        </w:rPr>
        <w:t xml:space="preserve">27.6 De spanning tussen actuariaat en commercie</w:t>
      </w:r>
    </w:p>
    <w:p>
      <w:pPr>
        <w:spacing w:after="140" w:line="300"/>
      </w:pPr>
      <w:r>
        <w:rPr>
          <w:rFonts w:ascii="Calibri" w:cs="Calibri" w:eastAsia="Calibri" w:hAnsi="Calibri"/>
          <w:b w:val="false"/>
          <w:bCs w:val="false"/>
          <w:i w:val="false"/>
          <w:iCs w:val="false"/>
          <w:sz w:val="22"/>
          <w:szCs w:val="22"/>
        </w:rPr>
        <w:t xml:space="preserve">Dit is de kern van productontwikkeling, en een directe echo van de sleutelfunctie-scheiding uit deel 25.</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actuaris</w:t>
      </w:r>
      <w:r>
        <w:rPr>
          <w:rFonts w:ascii="Calibri" w:cs="Calibri" w:eastAsia="Calibri" w:hAnsi="Calibri"/>
          <w:b w:val="false"/>
          <w:bCs w:val="false"/>
          <w:i w:val="false"/>
          <w:iCs w:val="false"/>
          <w:sz w:val="22"/>
          <w:szCs w:val="22"/>
        </w:rPr>
        <w:t xml:space="preserve"> bewaakt dat de prijsstelling het onderliggende risico dekt — te lage prijzen bedreigen de solvabiliteit (deel 12, Solvency II) op de lange termijn.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commerciële afdeling</w:t>
      </w:r>
      <w:r>
        <w:rPr>
          <w:rFonts w:ascii="Calibri" w:cs="Calibri" w:eastAsia="Calibri" w:hAnsi="Calibri"/>
          <w:b w:val="false"/>
          <w:bCs w:val="false"/>
          <w:i w:val="false"/>
          <w:iCs w:val="false"/>
          <w:sz w:val="22"/>
          <w:szCs w:val="22"/>
        </w:rPr>
        <w:t xml:space="preserve"> wil een product dat in de markt wint — te hoge prijzen leiden tot verlies van marktaandeel aan concurrenten.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deze spanning gezond is, mits goed gestructureerd.</w:t>
      </w:r>
      <w:r>
        <w:rPr>
          <w:rFonts w:ascii="Calibri" w:cs="Calibri" w:eastAsia="Calibri" w:hAnsi="Calibri"/>
          <w:b w:val="false"/>
          <w:bCs w:val="false"/>
          <w:i w:val="false"/>
          <w:iCs w:val="false"/>
          <w:sz w:val="22"/>
          <w:szCs w:val="22"/>
        </w:rPr>
        <w:t xml:space="preserve"> Precies zoals in deel 25 de scheiding tussen risicobeheer en interne audit een zelfcontrole-risico voorkomt, voorkomt de scheiding tussen actuariaat en commercie dat een product wordt gelanceerd dat op korte termijn aantrekkelijk lijkt maar op lange termijn de soliditeit van de verzekeraar ondermijnt — met uiteindelijk risico voor alle polishouders, niet alleen de nieuwe klant.</w:t>
      </w:r>
    </w:p>
    <w:p>
      <w:pPr>
        <w:spacing w:after="100"/>
      </w:pPr>
    </w:p>
    <w:p>
      <w:pPr>
        <w:pStyle w:val="Heading2"/>
        <w:spacing w:after="120" w:before="200"/>
      </w:pPr>
      <w:r>
        <w:rPr>
          <w:rFonts w:ascii="Georgia" w:cs="Georgia" w:eastAsia="Georgia" w:hAnsi="Georgia"/>
          <w:b/>
          <w:bCs/>
          <w:color w:val="2563A8"/>
          <w:sz w:val="28"/>
          <w:szCs w:val="28"/>
        </w:rPr>
        <w:t xml:space="preserve">27.7 Van ontwerp naar lancering: de stappen</w:t>
      </w:r>
    </w:p>
    <w:p>
      <w:pPr>
        <w:spacing w:after="80" w:before="16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533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27-1 — Het productontwikkelingsproces bij een verzekeraar, van marktsignaal tot lancering</w:t>
      </w:r>
    </w:p>
    <w:p>
      <w:pPr>
        <w:pStyle w:val="ListParagraph"/>
        <w:numPr>
          <w:ilvl w:val="0"/>
          <w:numId w:val="1"/>
        </w:numPr>
        <w:spacing w:after="80"/>
      </w:pPr>
      <w:r>
        <w:rPr>
          <w:rFonts w:ascii="Calibri" w:cs="Calibri" w:eastAsia="Calibri" w:hAnsi="Calibri"/>
          <w:sz w:val="22"/>
          <w:szCs w:val="22"/>
        </w:rPr>
        <w:t xml:space="preserve">1. Marktsignaal en segmentatie (27.3).</w:t>
      </w:r>
    </w:p>
    <w:p>
      <w:pPr>
        <w:pStyle w:val="ListParagraph"/>
        <w:numPr>
          <w:ilvl w:val="0"/>
          <w:numId w:val="1"/>
        </w:numPr>
        <w:spacing w:after="80"/>
      </w:pPr>
      <w:r>
        <w:rPr>
          <w:rFonts w:ascii="Calibri" w:cs="Calibri" w:eastAsia="Calibri" w:hAnsi="Calibri"/>
          <w:sz w:val="22"/>
          <w:szCs w:val="22"/>
        </w:rPr>
        <w:t xml:space="preserve">2. Conceptontwerp — welke dekkingen, welke lifecycle-opties (deel 12), welke uitkeringsvormen (deel 13) worden aangeboden?</w:t>
      </w:r>
    </w:p>
    <w:p>
      <w:pPr>
        <w:pStyle w:val="ListParagraph"/>
        <w:numPr>
          <w:ilvl w:val="0"/>
          <w:numId w:val="1"/>
        </w:numPr>
        <w:spacing w:after="80"/>
      </w:pPr>
      <w:r>
        <w:rPr>
          <w:rFonts w:ascii="Calibri" w:cs="Calibri" w:eastAsia="Calibri" w:hAnsi="Calibri"/>
          <w:sz w:val="22"/>
          <w:szCs w:val="22"/>
        </w:rPr>
        <w:t xml:space="preserve">3. Doelgroepbepaling (27.4) — expliciet vastgelegd, niet impliciet verondersteld.</w:t>
      </w:r>
    </w:p>
    <w:p>
      <w:pPr>
        <w:pStyle w:val="ListParagraph"/>
        <w:numPr>
          <w:ilvl w:val="0"/>
          <w:numId w:val="1"/>
        </w:numPr>
        <w:spacing w:after="80"/>
      </w:pPr>
      <w:r>
        <w:rPr>
          <w:rFonts w:ascii="Calibri" w:cs="Calibri" w:eastAsia="Calibri" w:hAnsi="Calibri"/>
          <w:sz w:val="22"/>
          <w:szCs w:val="22"/>
        </w:rPr>
        <w:t xml:space="preserve">4. Actuariële doorrekening (27.5) — prijsstelling op basis van mortaliteit, kosten en concurrentiepositie.</w:t>
      </w:r>
    </w:p>
    <w:p>
      <w:pPr>
        <w:pStyle w:val="ListParagraph"/>
        <w:numPr>
          <w:ilvl w:val="0"/>
          <w:numId w:val="1"/>
        </w:numPr>
        <w:spacing w:after="80"/>
      </w:pPr>
      <w:r>
        <w:rPr>
          <w:rFonts w:ascii="Calibri" w:cs="Calibri" w:eastAsia="Calibri" w:hAnsi="Calibri"/>
          <w:sz w:val="22"/>
          <w:szCs w:val="22"/>
        </w:rPr>
        <w:t xml:space="preserve">5. Compliance- en juridische toetsing — voldoet het product aan de Wtp-eisen (deel 5), de fiscale grenzen (deel 11), en de eisen aan risicodekkingen (deel 8)?</w:t>
      </w:r>
    </w:p>
    <w:p>
      <w:pPr>
        <w:pStyle w:val="ListParagraph"/>
        <w:numPr>
          <w:ilvl w:val="0"/>
          <w:numId w:val="1"/>
        </w:numPr>
        <w:spacing w:after="80"/>
      </w:pPr>
      <w:r>
        <w:rPr>
          <w:rFonts w:ascii="Calibri" w:cs="Calibri" w:eastAsia="Calibri" w:hAnsi="Calibri"/>
          <w:sz w:val="22"/>
          <w:szCs w:val="22"/>
        </w:rPr>
        <w:t xml:space="preserve">6. Distributievoorbereiding — trainen van adviseurs, opstellen van de acht-punten-informatie voor offertevergelijking (deel 12 en 14), en het formuleren van de waarborgbepalingen (deel 14) die het product aantrekkelijk maken voor overstappende werkgevers.</w:t>
      </w:r>
    </w:p>
    <w:p>
      <w:pPr>
        <w:pStyle w:val="ListParagraph"/>
        <w:numPr>
          <w:ilvl w:val="0"/>
          <w:numId w:val="1"/>
        </w:numPr>
        <w:spacing w:after="80"/>
      </w:pPr>
      <w:r>
        <w:rPr>
          <w:rFonts w:ascii="Calibri" w:cs="Calibri" w:eastAsia="Calibri" w:hAnsi="Calibri"/>
          <w:sz w:val="22"/>
          <w:szCs w:val="22"/>
        </w:rPr>
        <w:t xml:space="preserve">7. Lancering en monitoring — na lancering blijft de verzekeraar verplicht het product te volgen: sluit het daadwerkelijk aan bij de bedoelde doelgroep, of blijkt in de praktijk dat het bij andere klanten terechtkomt dan voorzien?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7 is geen formaliteit.</w:t>
      </w:r>
      <w:r>
        <w:rPr>
          <w:rFonts w:ascii="Calibri" w:cs="Calibri" w:eastAsia="Calibri" w:hAnsi="Calibri"/>
          <w:b w:val="false"/>
          <w:bCs w:val="false"/>
          <w:i w:val="false"/>
          <w:iCs w:val="false"/>
          <w:sz w:val="22"/>
          <w:szCs w:val="22"/>
        </w:rPr>
        <w:t xml:space="preserve"> Zij is de productgovernance-tegenhanger van de eigenrisicobeoordeling (ERB) uit deel 25: een doorlopende, structurele controle in plaats van een eenmalige lancering-en-vergeten-aanpak.</w:t>
      </w:r>
    </w:p>
    <w:p>
      <w:pPr>
        <w:spacing w:after="100"/>
      </w:pPr>
    </w:p>
    <w:p>
      <w:pPr>
        <w:pStyle w:val="Heading2"/>
        <w:spacing w:after="120" w:before="200"/>
      </w:pPr>
      <w:r>
        <w:rPr>
          <w:rFonts w:ascii="Georgia" w:cs="Georgia" w:eastAsia="Georgia" w:hAnsi="Georgia"/>
          <w:b/>
          <w:bCs/>
          <w:color w:val="2563A8"/>
          <w:sz w:val="28"/>
          <w:szCs w:val="28"/>
        </w:rPr>
        <w:t xml:space="preserve">27.8 Toepassing: Meridiaan ontwikkelt een Wtp-propositie</w:t>
      </w:r>
    </w:p>
    <w:p>
      <w:pPr>
        <w:spacing w:after="140" w:line="300"/>
      </w:pPr>
      <w:r>
        <w:rPr>
          <w:rFonts w:ascii="Calibri" w:cs="Calibri" w:eastAsia="Calibri" w:hAnsi="Calibri"/>
          <w:b w:val="false"/>
          <w:bCs w:val="false"/>
          <w:i w:val="false"/>
          <w:iCs w:val="false"/>
          <w:sz w:val="22"/>
          <w:szCs w:val="22"/>
        </w:rPr>
        <w:t xml:space="preserve">Stel dat Meridiaan naar aanleiding van de Wtp-transitie een nieuwe productlijn ontwikkelt, specifiek gericht op middelgrote werkgevers zoals Van Doorn Techniek.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Marktsignaal.</w:t>
      </w:r>
      <w:r>
        <w:rPr>
          <w:rFonts w:ascii="Calibri" w:cs="Calibri" w:eastAsia="Calibri" w:hAnsi="Calibri"/>
          <w:b w:val="false"/>
          <w:bCs w:val="false"/>
          <w:i w:val="false"/>
          <w:iCs w:val="false"/>
          <w:sz w:val="22"/>
          <w:szCs w:val="22"/>
        </w:rPr>
        <w:t xml:space="preserve"> Duizenden werkgevers van vergelijkbare omvang moeten vóór 1 oktober 2027 (deel 15) hun regeling hebben omgezet — een grote, tijdgebonden vraag.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Conceptontwerp.</w:t>
      </w:r>
      <w:r>
        <w:rPr>
          <w:rFonts w:ascii="Calibri" w:cs="Calibri" w:eastAsia="Calibri" w:hAnsi="Calibri"/>
          <w:b w:val="false"/>
          <w:bCs w:val="false"/>
          <w:i w:val="false"/>
          <w:iCs w:val="false"/>
          <w:sz w:val="22"/>
          <w:szCs w:val="22"/>
        </w:rPr>
        <w:t xml:space="preserve"> Een flexibele premieregeling met drie lifecycle-profielen (deel 12), een optionele premie-uitkeringsovereenkomst voor werkgevers die zekerheid boven flexibiliteit stellen (deel 3 en 13), en een standaard waarborgbepaling voor overstappende werkgevers (deel 14) — dit laatste als bewust concurrentievoordeel ten opzichte van verzekeraars die dit niet standaard bieden.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Doelgroepbepaling.</w:t>
      </w:r>
      <w:r>
        <w:rPr>
          <w:rFonts w:ascii="Calibri" w:cs="Calibri" w:eastAsia="Calibri" w:hAnsi="Calibri"/>
          <w:b w:val="false"/>
          <w:bCs w:val="false"/>
          <w:i w:val="false"/>
          <w:iCs w:val="false"/>
          <w:sz w:val="22"/>
          <w:szCs w:val="22"/>
        </w:rPr>
        <w:t xml:space="preserve"> Werkgevers met 20 tot 250 medewerkers, een gemengd leeftijdsbestand, en een voorkeur voor een gestandaardiseerd maar niet volledig rigide product. Expliciet </w:t>
      </w:r>
      <w:r>
        <w:rPr>
          <w:rFonts w:ascii="Calibri" w:cs="Calibri" w:eastAsia="Calibri" w:hAnsi="Calibri"/>
          <w:b w:val="false"/>
          <w:bCs w:val="false"/>
          <w:i/>
          <w:iCs/>
          <w:sz w:val="22"/>
          <w:szCs w:val="22"/>
        </w:rPr>
        <w:t xml:space="preserve">niet</w:t>
      </w:r>
      <w:r>
        <w:rPr>
          <w:rFonts w:ascii="Calibri" w:cs="Calibri" w:eastAsia="Calibri" w:hAnsi="Calibri"/>
          <w:b w:val="false"/>
          <w:bCs w:val="false"/>
          <w:i w:val="false"/>
          <w:iCs w:val="false"/>
          <w:sz w:val="22"/>
          <w:szCs w:val="22"/>
        </w:rPr>
        <w:t xml:space="preserve"> geschikt: zeer kleine werkgevers (onder de 20) waarvoor de vaste kosten relatief te zwaar wegen, en zeer grote corporates die specifiek maatwerk verlangen.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Prijsstelling.</w:t>
      </w:r>
      <w:r>
        <w:rPr>
          <w:rFonts w:ascii="Calibri" w:cs="Calibri" w:eastAsia="Calibri" w:hAnsi="Calibri"/>
          <w:b w:val="false"/>
          <w:bCs w:val="false"/>
          <w:i w:val="false"/>
          <w:iCs w:val="false"/>
          <w:sz w:val="22"/>
          <w:szCs w:val="22"/>
        </w:rPr>
        <w:t xml:space="preserve"> Gebaseerd op de meest recente prognosetafel (deel 28), met kostenopslagen die concurrerend zijn voor het gekozen segment, en een marge die aansluit bij Meridiaans eigen kapitaalpositie onder Solvency II.</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Distributie.</w:t>
      </w:r>
      <w:r>
        <w:rPr>
          <w:rFonts w:ascii="Calibri" w:cs="Calibri" w:eastAsia="Calibri" w:hAnsi="Calibri"/>
          <w:b w:val="false"/>
          <w:bCs w:val="false"/>
          <w:i w:val="false"/>
          <w:iCs w:val="false"/>
          <w:sz w:val="22"/>
          <w:szCs w:val="22"/>
        </w:rPr>
        <w:t xml:space="preserve"> Adviseurs zoals Joost Meiland krijgen trainingsmateriaal en de acht-puntenlijst vooraf ingevuld, zodat een offertevergelijking (deel 14) voor Meridiaans product transparant en snel te doorlopen is — zelf een concurrentievoordeel in een markt waar snelheid, gezien de deadline-druk uit deel 15, een reëel verkoopargument is.</w:t>
      </w:r>
    </w:p>
    <w:p>
      <w:pPr>
        <w:spacing w:after="100"/>
      </w:pPr>
    </w:p>
    <w:p>
      <w:pPr>
        <w:pStyle w:val="Heading2"/>
        <w:spacing w:after="120" w:before="200"/>
      </w:pPr>
      <w:r>
        <w:rPr>
          <w:rFonts w:ascii="Georgia" w:cs="Georgia" w:eastAsia="Georgia" w:hAnsi="Georgia"/>
          <w:b/>
          <w:bCs/>
          <w:color w:val="2563A8"/>
          <w:sz w:val="28"/>
          <w:szCs w:val="28"/>
        </w:rPr>
        <w:t xml:space="preserve">27.9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Target market / doelgroepbepaling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Vooraf vastgestelde, expliciete bepaling voor welke klanten een product geschikt 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Mortaliteitsaanname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verwachte levensverwachting waarmee een product wordt geprijsd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Kostenopslag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Administratie-, distributie- en beheerkosten bovenop de zuivere risicoprijs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Productmonitoring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Doorlopende controle of een product na lancering bij de juiste doelgroep terechtkomt</w:t>
            </w:r>
          </w:p>
        </w:tc>
      </w:tr>
    </w:tbl>
    <w:p>
      <w:pPr>
        <w:spacing w:after="100"/>
      </w:pPr>
    </w:p>
    <w:p>
      <w:pPr>
        <w:pStyle w:val="Heading2"/>
        <w:spacing w:after="120" w:before="200"/>
      </w:pPr>
      <w:r>
        <w:rPr>
          <w:rFonts w:ascii="Georgia" w:cs="Georgia" w:eastAsia="Georgia" w:hAnsi="Georgia"/>
          <w:b/>
          <w:bCs/>
          <w:color w:val="2563A8"/>
          <w:sz w:val="28"/>
          <w:szCs w:val="28"/>
        </w:rPr>
        <w:t xml:space="preserve">27.10 Samenvatting</w:t>
      </w:r>
    </w:p>
    <w:p>
      <w:pPr>
        <w:pStyle w:val="ListParagraph"/>
        <w:numPr>
          <w:ilvl w:val="0"/>
          <w:numId w:val="1"/>
        </w:numPr>
        <w:spacing w:after="80"/>
      </w:pPr>
      <w:r>
        <w:rPr>
          <w:rFonts w:ascii="Calibri" w:cs="Calibri" w:eastAsia="Calibri" w:hAnsi="Calibri"/>
          <w:sz w:val="22"/>
          <w:szCs w:val="22"/>
        </w:rPr>
        <w:t xml:space="preserve">Productontwikkeling begint bij een gesignaleerde marktbehoefte en marktsegmentatie, niet bij de actuariële tabel.</w:t>
      </w:r>
    </w:p>
    <w:p>
      <w:pPr>
        <w:pStyle w:val="ListParagraph"/>
        <w:numPr>
          <w:ilvl w:val="0"/>
          <w:numId w:val="1"/>
        </w:numPr>
        <w:spacing w:after="80"/>
      </w:pPr>
      <w:r>
        <w:rPr>
          <w:rFonts w:ascii="Calibri" w:cs="Calibri" w:eastAsia="Calibri" w:hAnsi="Calibri"/>
          <w:sz w:val="22"/>
          <w:szCs w:val="22"/>
        </w:rPr>
        <w:t xml:space="preserve">De doelgroepbepaling is een regulatoire eis die rechtstreeks aansluit bij de zorgplichtgedachte uit deel 18, en die met de distributieketen moet worden gedeeld.</w:t>
      </w:r>
    </w:p>
    <w:p>
      <w:pPr>
        <w:pStyle w:val="ListParagraph"/>
        <w:numPr>
          <w:ilvl w:val="0"/>
          <w:numId w:val="1"/>
        </w:numPr>
        <w:spacing w:after="80"/>
      </w:pPr>
      <w:r>
        <w:rPr>
          <w:rFonts w:ascii="Calibri" w:cs="Calibri" w:eastAsia="Calibri" w:hAnsi="Calibri"/>
          <w:sz w:val="22"/>
          <w:szCs w:val="22"/>
        </w:rPr>
        <w:t xml:space="preserve">Prijsstelling steunt op mortaliteit, kosten en concurrentiepositie, met een gezonde spanning tussen actuariaat en commercie.</w:t>
      </w:r>
    </w:p>
    <w:p>
      <w:pPr>
        <w:pStyle w:val="ListParagraph"/>
        <w:numPr>
          <w:ilvl w:val="0"/>
          <w:numId w:val="1"/>
        </w:numPr>
        <w:spacing w:after="80"/>
      </w:pPr>
      <w:r>
        <w:rPr>
          <w:rFonts w:ascii="Calibri" w:cs="Calibri" w:eastAsia="Calibri" w:hAnsi="Calibri"/>
          <w:sz w:val="22"/>
          <w:szCs w:val="22"/>
        </w:rPr>
        <w:t xml:space="preserve">Het proces van ontwerp tot lancering kent zeven stappen, met monitoring na lancering als structureel sluitstuk, niet als formaliteit.</w:t>
      </w:r>
    </w:p>
    <w:p>
      <w:pPr>
        <w:pStyle w:val="ListParagraph"/>
        <w:numPr>
          <w:ilvl w:val="0"/>
          <w:numId w:val="1"/>
        </w:numPr>
        <w:spacing w:after="80"/>
      </w:pPr>
      <w:r>
        <w:rPr>
          <w:rFonts w:ascii="Calibri" w:cs="Calibri" w:eastAsia="Calibri" w:hAnsi="Calibri"/>
          <w:sz w:val="22"/>
          <w:szCs w:val="22"/>
        </w:rPr>
        <w:t xml:space="preserve">Voor Meridiaan is de doelgroepkeuze voor een Wtp-propositie direct te herleiden tot de kenmerken van een werkgever als Van Doorn Techniek.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28.</w:t>
      </w:r>
      <w:r>
        <w:rPr>
          <w:rFonts w:ascii="Calibri" w:cs="Calibri" w:eastAsia="Calibri" w:hAnsi="Calibri"/>
          <w:b w:val="false"/>
          <w:bCs w:val="false"/>
          <w:i w:val="false"/>
          <w:iCs w:val="false"/>
          <w:sz w:val="22"/>
          <w:szCs w:val="22"/>
        </w:rPr>
        <w:t xml:space="preserve"> De prijsstelling die in dit deel werd genoemd, steunt op een aanname die tot nu toe onbehandeld bleef: hoe lang leven mensen naar verwachting, en hoe wordt die verwachting periodiek bijgesteld? Deel 28 behandelt de actuariële grondslagen, solvabiliteit en het langlevenrisico die achter elk cijfer in deze cursus schuilgaan.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824c294f47fcb2bc19494677a507c4fd04c36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2026-08-17T11:22:46.112Z</dcterms:created>
  <dcterms:modified xsi:type="dcterms:W3CDTF">2026-08-17T11:22:46.112Z</dcterms:modified>
</cp:coreProperties>
</file>

<file path=docProps/custom.xml><?xml version="1.0" encoding="utf-8"?>
<Properties xmlns="http://schemas.openxmlformats.org/officeDocument/2006/custom-properties" xmlns:vt="http://schemas.openxmlformats.org/officeDocument/2006/docPropsVTypes"/>
</file>