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27 — Werkboek</w:t>
      </w:r>
    </w:p>
    <w:p>
      <w:pPr>
        <w:spacing w:after="300"/>
      </w:pPr>
      <w:r>
        <w:rPr>
          <w:rFonts w:ascii="Calibri" w:cs="Calibri" w:eastAsia="Calibri" w:hAnsi="Calibri"/>
          <w:i/>
          <w:iCs/>
          <w:color w:val="2563A8"/>
          <w:sz w:val="22"/>
          <w:szCs w:val="22"/>
        </w:rPr>
        <w:t xml:space="preserve">Niveau 3 — Expert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27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3 · Expert · Opdrachten met uitwerkingen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Opdracht 27.1 — Perspectiefwissel toepassen</w:t>
      </w:r>
    </w:p>
    <w:p>
      <w:pPr>
        <w:spacing w:after="140" w:line="300"/>
      </w:pPr>
      <w:r>
        <w:rPr>
          <w:rFonts w:ascii="Calibri" w:cs="Calibri" w:eastAsia="Calibri" w:hAnsi="Calibri"/>
          <w:b w:val="false"/>
          <w:bCs w:val="false"/>
          <w:i w:val="false"/>
          <w:iCs w:val="false"/>
          <w:sz w:val="22"/>
          <w:szCs w:val="22"/>
        </w:rPr>
        <w:t xml:space="preserve">Noem drie beslissingen uit eerdere delen van deze cursus die je vanuit het perspectief van Joost (adviseur) of Van Doorn (werkgever) hebt bekeken, en beschrijf kort hoe dezelfde beslissing er vanuit Meridiaans perspectief uitziet.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(voorbeelden). De waarborgbepaling (deel 14): vanuit Joost/Van Doorn een punt om te bedingen; vanuit Meridiaan een productkeuze die zij vooraf standaard kan aanbieden om zich te onderscheiden. De lifecycle-profielen (deel 12): vanuit de deelnemer een keuzemoment; vanuit Meridiaan een productontwerpvraag over hoeveel profielen aan te bieden en wat het standaardprofiel wordt. Het kritieke pad (deel 14): vanuit Van Doorn een planningsrisico; vanuit Meridiaan een capaciteitsvraagstuk over hoeveel dossiers zij tegelijk kan verwerken.</w:t>
            </w:r>
          </w:p>
        </w:tc>
      </w:tr>
    </w:tbl>
    <w:p>
      <w:pPr>
        <w:spacing w:after="100"/>
      </w:pPr>
    </w:p>
    <w:p>
      <w:pPr>
        <w:pStyle w:val="Heading2"/>
        <w:spacing w:after="120" w:before="200"/>
      </w:pPr>
      <w:r>
        <w:rPr>
          <w:rFonts w:ascii="Georgia" w:cs="Georgia" w:eastAsia="Georgia" w:hAnsi="Georgia"/>
          <w:b/>
          <w:bCs/>
          <w:color w:val="2563A8"/>
          <w:sz w:val="28"/>
          <w:szCs w:val="28"/>
        </w:rPr>
        <w:t xml:space="preserve">Opdracht 27.2 — Doelgroepbepaling opstellen</w:t>
      </w:r>
    </w:p>
    <w:p>
      <w:pPr>
        <w:spacing w:after="140" w:line="300"/>
      </w:pPr>
      <w:r>
        <w:rPr>
          <w:rFonts w:ascii="Calibri" w:cs="Calibri" w:eastAsia="Calibri" w:hAnsi="Calibri"/>
          <w:b w:val="false"/>
          <w:bCs w:val="false"/>
          <w:i w:val="false"/>
          <w:iCs w:val="false"/>
          <w:sz w:val="22"/>
          <w:szCs w:val="22"/>
        </w:rPr>
        <w:t xml:space="preserve">Stel voor een fictief nieuw Meridiaan-product — een premie-uitkeringsovereenkomst specifiek voor werkgevers met een ouder bestand — een doelgroepbepaling op: voor wie is het geschikt, voor wie nadrukkelijk niet?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(richtlijn). Geschikt: werkgevers met een gemiddelde leeftijd boven bijvoorbeeld 45 jaar, een voorkeur voor zekerheid boven verwacht rendement, en een deelnemersbestand dat weinig verloop kent (deel 3, 12). Niet geschikt: jonge, snelgroeiende bedrijven met een lage gemiddelde leeftijd, waarvoor de prijs van zekerheid (lager verwacht pensioen, deel 12) niet in verhouding staat tot de behoefte. Beoordelingslijn: de bepaling moet expliciet zijn, niet impliciet (“dit past bij de meeste werkgevers” is geen doelgroepbepaling).</w:t>
            </w:r>
          </w:p>
        </w:tc>
      </w:tr>
    </w:tbl>
    <w:p>
      <w:pPr>
        <w:spacing w:after="100"/>
      </w:pPr>
    </w:p>
    <w:p>
      <w:pPr>
        <w:pStyle w:val="Heading2"/>
        <w:spacing w:after="120" w:before="200"/>
      </w:pPr>
      <w:r>
        <w:rPr>
          <w:rFonts w:ascii="Georgia" w:cs="Georgia" w:eastAsia="Georgia" w:hAnsi="Georgia"/>
          <w:b/>
          <w:bCs/>
          <w:color w:val="2563A8"/>
          <w:sz w:val="28"/>
          <w:szCs w:val="28"/>
        </w:rPr>
        <w:t xml:space="preserve">Opdracht 27.3 — De drie prijsstellingsfactoren toepassen</w:t>
      </w:r>
    </w:p>
    <w:p>
      <w:pPr>
        <w:spacing w:after="140" w:line="300"/>
      </w:pPr>
      <w:r>
        <w:rPr>
          <w:rFonts w:ascii="Calibri" w:cs="Calibri" w:eastAsia="Calibri" w:hAnsi="Calibri"/>
          <w:b w:val="false"/>
          <w:bCs w:val="false"/>
          <w:i w:val="false"/>
          <w:iCs w:val="false"/>
          <w:sz w:val="22"/>
          <w:szCs w:val="22"/>
        </w:rPr>
        <w:t xml:space="preserve">Meridiaan overweegt de premie voor haar Wtp-propositie te verlagen om marktaandeel te winnen bij werkgevers zoals Van Doorn.</w:t>
      </w:r>
    </w:p>
    <w:p>
      <w:pPr>
        <w:spacing w:after="140" w:line="300"/>
      </w:pPr>
      <w:r>
        <w:rPr>
          <w:rFonts w:ascii="Calibri" w:cs="Calibri" w:eastAsia="Calibri" w:hAnsi="Calibri"/>
          <w:b w:val="false"/>
          <w:bCs w:val="false"/>
          <w:i w:val="false"/>
          <w:iCs w:val="false"/>
          <w:sz w:val="22"/>
          <w:szCs w:val="22"/>
        </w:rPr>
        <w:t xml:space="preserve">a. Welke van de drie prijsstellingsfactoren wordt hierdoor het meest direct geraakt?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Welk risico loopt Meridiaan als zij de prijs verlaagt zonder de andere twee factoren aan te passen?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Concurrentiepositie — dit is een directe reactie op marktdruk.</w:t>
      </w:r>
    </w:p>
    <w:p>
      <w:pPr>
        <w:spacing w:after="140" w:line="300"/>
      </w:pPr>
      <w:r>
        <w:rPr>
          <w:rFonts w:ascii="Calibri" w:cs="Calibri" w:eastAsia="Calibri" w:hAnsi="Calibri"/>
          <w:b w:val="false"/>
          <w:bCs w:val="false"/>
          <w:i w:val="false"/>
          <w:iCs w:val="false"/>
          <w:sz w:val="22"/>
          <w:szCs w:val="22"/>
        </w:rPr>
        <w:t xml:space="preserve">b. Als de mortaliteitsaannames en kostenopslagen ongewijzigd blijven, drukt de prijsverlaging direct op de marge, en bij een te scherpe verlaging mogelijk op de onderliggende soliditeit — precies de spanning uit paragraaf 27.6 tussen actuariaat en commercie. Zonder heroverweging van kosten (bijvoorbeeld via schaalvoordelen) is een prijsverlaging op korte termijn aantrekkelijk maar op lange termijn risicovol.</w:t>
      </w:r>
    </w:p>
    <w:p>
      <w:pPr>
        <w:spacing w:after="100"/>
      </w:pPr>
    </w:p>
    <w:p>
      <w:pPr>
        <w:pStyle w:val="Heading2"/>
        <w:spacing w:after="120" w:before="200"/>
      </w:pPr>
      <w:r>
        <w:rPr>
          <w:rFonts w:ascii="Georgia" w:cs="Georgia" w:eastAsia="Georgia" w:hAnsi="Georgia"/>
          <w:b/>
          <w:bCs/>
          <w:color w:val="2563A8"/>
          <w:sz w:val="28"/>
          <w:szCs w:val="28"/>
        </w:rPr>
        <w:t xml:space="preserve">Opdracht 27.4 — De spanning herkennen</w:t>
      </w:r>
    </w:p>
    <w:p>
      <w:pPr>
        <w:spacing w:after="140" w:line="300"/>
      </w:pPr>
      <w:r>
        <w:rPr>
          <w:rFonts w:ascii="Calibri" w:cs="Calibri" w:eastAsia="Calibri" w:hAnsi="Calibri"/>
          <w:b w:val="false"/>
          <w:bCs w:val="false"/>
          <w:i w:val="false"/>
          <w:iCs w:val="false"/>
          <w:sz w:val="22"/>
          <w:szCs w:val="22"/>
        </w:rPr>
        <w:t xml:space="preserve">Een commerciële manager bij Meridiaan zegt tegen de actuaris: “We moeten deze prijs wel halen, anders verliezen we het hele Van Doorn-segment aan de concurrentie.” De actuaris antwoordt: “Bij deze prijs dekken we het langlevenrisico niet voldoende.”</w:t>
      </w:r>
    </w:p>
    <w:p>
      <w:pPr>
        <w:spacing w:after="140" w:line="300"/>
      </w:pPr>
      <w:r>
        <w:rPr>
          <w:rFonts w:ascii="Calibri" w:cs="Calibri" w:eastAsia="Calibri" w:hAnsi="Calibri"/>
          <w:b w:val="false"/>
          <w:bCs w:val="false"/>
          <w:i w:val="false"/>
          <w:iCs w:val="false"/>
          <w:sz w:val="22"/>
          <w:szCs w:val="22"/>
        </w:rPr>
        <w:t xml:space="preserve">a. Is dit conflict een teken dat er iets mis is met de organisatie?</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is de gezonde uitkomst van dit gesprek?</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Nee — dit is precies de bedoelde spanning tussen twee functies die elkaar in evenwicht houden, vergelijkbaar met de scheiding tussen risicobeheer en interne audit uit deel 25. Een organisatie waarin dit gesprek nooit plaatsvindt, heeft waarschijnlijk onvoldoende scheiding tussen deze twee belangen.</w:t>
      </w:r>
    </w:p>
    <w:p>
      <w:pPr>
        <w:spacing w:after="140" w:line="300"/>
      </w:pPr>
      <w:r>
        <w:rPr>
          <w:rFonts w:ascii="Calibri" w:cs="Calibri" w:eastAsia="Calibri" w:hAnsi="Calibri"/>
          <w:b w:val="false"/>
          <w:bCs w:val="false"/>
          <w:i w:val="false"/>
          <w:iCs w:val="false"/>
          <w:sz w:val="22"/>
          <w:szCs w:val="22"/>
        </w:rPr>
        <w:t xml:space="preserve">b. Een uitkomst waarin beide overwegingen zijn meegewogen: bijvoorbeeld een product dat op onderdelen wordt gedifferentieerd (een sterkere waarborgbepaling in plaats van alleen een lagere prijs, deel 14) zodat het concurrerend is zonder de actuariële soliditeit op te geven. Niet: de commerciële afdeling krijgt automatisch gelijk, of de actuaris blokkeert elk voorstel zonder alternatief te bieden.</w:t>
      </w:r>
    </w:p>
    <w:p>
      <w:pPr>
        <w:spacing w:after="100"/>
      </w:pPr>
    </w:p>
    <w:p>
      <w:pPr>
        <w:pStyle w:val="Heading2"/>
        <w:spacing w:after="120" w:before="200"/>
      </w:pPr>
      <w:r>
        <w:rPr>
          <w:rFonts w:ascii="Georgia" w:cs="Georgia" w:eastAsia="Georgia" w:hAnsi="Georgia"/>
          <w:b/>
          <w:bCs/>
          <w:color w:val="2563A8"/>
          <w:sz w:val="28"/>
          <w:szCs w:val="28"/>
        </w:rPr>
        <w:t xml:space="preserve">Opdracht 27.5 — De zeven stappen toepassen</w:t>
      </w:r>
    </w:p>
    <w:p>
      <w:pPr>
        <w:spacing w:after="140" w:line="300"/>
      </w:pPr>
      <w:r>
        <w:rPr>
          <w:rFonts w:ascii="Calibri" w:cs="Calibri" w:eastAsia="Calibri" w:hAnsi="Calibri"/>
          <w:b w:val="false"/>
          <w:bCs w:val="false"/>
          <w:i w:val="false"/>
          <w:iCs w:val="false"/>
          <w:sz w:val="22"/>
          <w:szCs w:val="22"/>
        </w:rPr>
        <w:t xml:space="preserve">Zet de volgende activiteiten in de juiste volgorde volgens het proces uit paragraaf 27.7: (a) trainingsmateriaal voor adviseurs opstellen, (b) controleren of het product na een jaar daadwerkelijk bij de bedoelde doelgroep terechtkomt, © vaststellen dat er vraag is bij middelgrote werkgevers, (d) de premie doorrekenen op basis van de meest recente prognosetafel, (e) vaststellen dat het product niet geschikt is voor werkgevers onder de 20 medewerkers.</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c (marktsignaal) → e (doelgroepbepaling) → d (actuariële doorrekening) → a (distributievoorbereiding) → b (monitoring na lancering). Ontbrekende stap tussen d en a: compliance- en juridische toetsing — een goede aanvulling om te benoemen als de groep die zelf niet meeneemt.</w:t>
            </w:r>
          </w:p>
        </w:tc>
      </w:tr>
    </w:tbl>
    <w:p>
      <w:pPr>
        <w:spacing w:after="100"/>
      </w:pPr>
    </w:p>
    <w:p>
      <w:pPr>
        <w:pStyle w:val="Heading2"/>
        <w:spacing w:after="120" w:before="200"/>
      </w:pPr>
      <w:r>
        <w:rPr>
          <w:rFonts w:ascii="Georgia" w:cs="Georgia" w:eastAsia="Georgia" w:hAnsi="Georgia"/>
          <w:b/>
          <w:bCs/>
          <w:color w:val="2563A8"/>
          <w:sz w:val="28"/>
          <w:szCs w:val="28"/>
        </w:rPr>
        <w:t xml:space="preserve">Opdracht 27.6 — Meridiaans propositie voor Van Doorn beoordelen</w:t>
      </w:r>
    </w:p>
    <w:p>
      <w:pPr>
        <w:spacing w:after="140" w:line="300"/>
      </w:pPr>
      <w:r>
        <w:rPr>
          <w:rFonts w:ascii="Calibri" w:cs="Calibri" w:eastAsia="Calibri" w:hAnsi="Calibri"/>
          <w:b w:val="false"/>
          <w:bCs w:val="false"/>
          <w:i w:val="false"/>
          <w:iCs w:val="false"/>
          <w:sz w:val="22"/>
          <w:szCs w:val="22"/>
        </w:rPr>
        <w:t xml:space="preserve">Terugkijkend naar deel 14 (Route A/B): beoordeel of Meridiaans Wtp-propositie uit paragraaf 27.8 een goede fit is voor Van Doorn Techniek (85 medewerkers, gemengd bestand), aan de hand van de doelgroepbepaling uit die paragraaf.</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Van Doorn valt met 85 medewerkers ruim binnen de bandbreedte van 20 tot 250; het gemengde leeftijdsbestand (Karel en Yasmin als uitersten) sluit aan bij “een gemengd leeftijdsbestand” als doelgroepkenmerk. De propositie lijkt dus een goede fit — wat overigens niet automatisch betekent dat Route A (blijven bij Meridiaan) de juiste keuze is; dat hangt nog steeds af van de prijs- en kwaliteitsvergelijking uit deel 14, niet alleen van de doelgroepfit.</w:t>
            </w:r>
          </w:p>
        </w:tc>
      </w:tr>
    </w:tbl>
    <w:p>
      <w:pPr>
        <w:spacing w:after="100"/>
      </w:pPr>
    </w:p>
    <w:p>
      <w:pPr>
        <w:pStyle w:val="Heading2"/>
        <w:spacing w:after="120" w:before="200"/>
      </w:pPr>
      <w:r>
        <w:rPr>
          <w:rFonts w:ascii="Georgia" w:cs="Georgia" w:eastAsia="Georgia" w:hAnsi="Georgia"/>
          <w:b/>
          <w:bCs/>
          <w:color w:val="2563A8"/>
          <w:sz w:val="28"/>
          <w:szCs w:val="28"/>
        </w:rPr>
        <w:t xml:space="preserve">Opdracht 27.7 — Productmonitoring als vroege waarschuwing</w:t>
      </w:r>
    </w:p>
    <w:p>
      <w:pPr>
        <w:spacing w:after="140" w:line="300"/>
      </w:pPr>
      <w:r>
        <w:rPr>
          <w:rFonts w:ascii="Calibri" w:cs="Calibri" w:eastAsia="Calibri" w:hAnsi="Calibri"/>
          <w:b w:val="false"/>
          <w:bCs w:val="false"/>
          <w:i w:val="false"/>
          <w:iCs w:val="false"/>
          <w:sz w:val="22"/>
          <w:szCs w:val="22"/>
        </w:rPr>
        <w:t xml:space="preserve">Een jaar na lancering blijkt dat Meridiaans nieuwe Wtp-propositie vooral wordt afgesloten door werkgevers met minder dan 20 medewerkers — buiten de bedoelde doelgroep.</w:t>
      </w:r>
    </w:p>
    <w:p>
      <w:pPr>
        <w:spacing w:after="140" w:line="300"/>
      </w:pPr>
      <w:r>
        <w:rPr>
          <w:rFonts w:ascii="Calibri" w:cs="Calibri" w:eastAsia="Calibri" w:hAnsi="Calibri"/>
          <w:b w:val="false"/>
          <w:bCs w:val="false"/>
          <w:i w:val="false"/>
          <w:iCs w:val="false"/>
          <w:sz w:val="22"/>
          <w:szCs w:val="22"/>
        </w:rPr>
        <w:t xml:space="preserve">a. Wat zou dit kunnen betekenen voor de actuariële soliditeit van het product?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Welke actie hoort hierbij, volgens stap 7 uit paragraaf 27.7?</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Het product is geprijsd op aannames die passen bij het bedoelde segment (20-250 medewerkers); een verschuiving naar kleinere werkgevers kan een ander risicoprofiel meebrengen (bijvoorbeeld hogere relatieve vaste kosten per deelnemer, of een ander verloop- en leeftijdspatroon) dat niet in de oorspronkelijke prijsstelling is meegenomen.</w:t>
      </w:r>
    </w:p>
    <w:p>
      <w:pPr>
        <w:spacing w:after="140" w:line="300"/>
      </w:pPr>
      <w:r>
        <w:rPr>
          <w:rFonts w:ascii="Calibri" w:cs="Calibri" w:eastAsia="Calibri" w:hAnsi="Calibri"/>
          <w:b w:val="false"/>
          <w:bCs w:val="false"/>
          <w:i w:val="false"/>
          <w:iCs w:val="false"/>
          <w:sz w:val="22"/>
          <w:szCs w:val="22"/>
        </w:rPr>
        <w:t xml:space="preserve">b. Herbeoordeling van het product: ofwel de doelgroepbepaling en distributie aanscherpen zodat kleinere werkgevers daadwerkelijk worden geweerd, ofwel het product zelf en de prijsstelling herzien zodat het ook voor dit onbedoelde segment houdbaar is. Stilzwijgend doorgaan is geen optie — dit is precies waarom monitoring geen formaliteit is.</w:t>
      </w:r>
    </w:p>
    <w:p>
      <w:pPr>
        <w:spacing w:after="100"/>
      </w:pPr>
    </w:p>
    <w:p>
      <w:pPr>
        <w:pStyle w:val="Heading2"/>
        <w:spacing w:after="120" w:before="200"/>
      </w:pPr>
      <w:r>
        <w:rPr>
          <w:rFonts w:ascii="Georgia" w:cs="Georgia" w:eastAsia="Georgia" w:hAnsi="Georgia"/>
          <w:b/>
          <w:bCs/>
          <w:color w:val="2563A8"/>
          <w:sz w:val="28"/>
          <w:szCs w:val="28"/>
        </w:rPr>
        <w:t xml:space="preserve">Opdracht 27.8 — Terugkoppeling naar de hele cursus</w:t>
      </w:r>
    </w:p>
    <w:p>
      <w:pPr>
        <w:spacing w:after="140" w:line="300"/>
      </w:pPr>
      <w:r>
        <w:rPr>
          <w:rFonts w:ascii="Calibri" w:cs="Calibri" w:eastAsia="Calibri" w:hAnsi="Calibri"/>
          <w:b w:val="false"/>
          <w:bCs w:val="false"/>
          <w:i w:val="false"/>
          <w:iCs w:val="false"/>
          <w:sz w:val="22"/>
          <w:szCs w:val="22"/>
        </w:rPr>
        <w:t xml:space="preserve">Beschrijf in maximaal zes zinnen hoe dit deel je beeld van een eerder cursusonderdeel (naar keuze) heeft veranderd, nu je het vanuit het perspectief van de uitvoerder hebt gezien in plaats van vanuit de adviseur of werkgever.</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Een sterk antwoord kiest een concreet element (bijvoorbeeld de waarborgbepaling uit deel 14 of het standaard lifecycle-profiel uit deel 12) en laat zien dat wat eerder als “iets om te bedingen” werd gepresenteerd, nu ook wordt begrepen als “een productkeuze met eigen actuariële en commerciële overwegingen aan de kant van de uitvoerder” — een vorm van perspectiefverbreding die illustreert waarom niveau 3 dit deel bevat.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3 — Expert · Deel 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2026-08-17T11:22:46.134Z</dcterms:created>
  <dcterms:modified xsi:type="dcterms:W3CDTF">2026-08-17T11:22:46.134Z</dcterms:modified>
</cp:coreProperties>
</file>

<file path=docProps/custom.xml><?xml version="1.0" encoding="utf-8"?>
<Properties xmlns="http://schemas.openxmlformats.org/officeDocument/2006/custom-properties" xmlns:vt="http://schemas.openxmlformats.org/officeDocument/2006/docPropsVTypes"/>
</file>