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28 — Docentenhandleiding</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28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legt de laag bloot die door de hele cursus heen stilzwijgend aanwezig was: elke uitkeringsberekening, garantie en waardering steunt op een levensverwachtingsaanname. Twee dingen moeten landen:</w:t>
      </w:r>
    </w:p>
    <w:p>
      <w:pPr>
        <w:pStyle w:val="ListParagraph"/>
        <w:numPr>
          <w:ilvl w:val="0"/>
          <w:numId w:val="1"/>
        </w:numPr>
        <w:spacing w:after="80"/>
      </w:pPr>
      <w:r>
        <w:rPr>
          <w:rFonts w:ascii="Calibri" w:cs="Calibri" w:eastAsia="Calibri" w:hAnsi="Calibri"/>
          <w:sz w:val="22"/>
          <w:szCs w:val="22"/>
        </w:rPr>
        <w:t xml:space="preserve">1. De prognosetafel is geen statisch feit maar een periodiek herziene prognose — met AG2024 als actueel, concreet voorbeeld van hoe zo’n herziening werkt.</w:t>
      </w:r>
    </w:p>
    <w:p>
      <w:pPr>
        <w:pStyle w:val="ListParagraph"/>
        <w:numPr>
          <w:ilvl w:val="0"/>
          <w:numId w:val="1"/>
        </w:numPr>
        <w:spacing w:after="80"/>
      </w:pPr>
      <w:r>
        <w:rPr>
          <w:rFonts w:ascii="Calibri" w:cs="Calibri" w:eastAsia="Calibri" w:hAnsi="Calibri"/>
          <w:sz w:val="22"/>
          <w:szCs w:val="22"/>
        </w:rPr>
        <w:t xml:space="preserve">2. Langlevenrisico kent een diversifieerbare en een niet-diversifieerbare vorm, en het is de laatste die het meeste gewicht in de wagenschaal legt voor fondsen en verzekeraars.</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laag die stilzwijgend aanwezig was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prognosetafel, opdracht 28.1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AG2024 in detail, opdracht 28.2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vs. collectief langlevenrisico, opdracht 28.3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Koppeling met deel 12/13/16/25, opdracht 28.4 en 28.5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Solvabiliteit, opdracht 28.6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Toepassing op een offertevergelijking, opdracht 28.7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Reflectie, opdracht 28.8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Laat de groep terugdenken aan het projectierendement uit deel 13 en vraag: “waar kwam de aanname over de uitkeringsduur eigenlijk vandaan?” De meeste deelnemers hebben dit destijds niet bevraagd — dat is precies het punt. Dit deel maakt een impliciete aanname expliciet.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prognosetafel.</w:t>
      </w:r>
      <w:r>
        <w:rPr>
          <w:rFonts w:ascii="Calibri" w:cs="Calibri" w:eastAsia="Calibri" w:hAnsi="Calibri"/>
          <w:b w:val="false"/>
          <w:bCs w:val="false"/>
          <w:i w:val="false"/>
          <w:iCs w:val="false"/>
          <w:sz w:val="22"/>
          <w:szCs w:val="22"/>
        </w:rPr>
        <w:t xml:space="preserve"> Leg de logica van “een prognose, geen foto” helder uit: levensverwachting stijgt structureel, dus een instrument dat alleen het verleden weergeeft, onderschat systematisch de toekomst. Dit is een belangrijk conceptueel punt vóór de details van AG2024 aan bod komen.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AG2024 — kern van het dagdeel.</w:t>
      </w:r>
      <w:r>
        <w:rPr>
          <w:rFonts w:ascii="Calibri" w:cs="Calibri" w:eastAsia="Calibri" w:hAnsi="Calibri"/>
          <w:b w:val="false"/>
          <w:bCs w:val="false"/>
          <w:i w:val="false"/>
          <w:iCs w:val="false"/>
          <w:sz w:val="22"/>
          <w:szCs w:val="22"/>
        </w:rPr>
        <w:t xml:space="preserve"> Neem hier de meeste tijd. Bouw het verhaal op: eerst wat oversterfte is, dan de aanname in AG2022 (halvering per jaar), dan waarom die aanname bijstelling behoefde (de data van 2022-2023 lieten een langzamer herstel zien), en dan de nieuwe aanname (25% afname per jaar). Laat opdracht 28.2 zonder de reader maken als geheugentoets — dit dwingt echte verwerking in plaats van herkenning.</w:t>
      </w:r>
    </w:p>
    <w:p>
      <w:pPr>
        <w:spacing w:after="140" w:line="300"/>
      </w:pPr>
      <w:r>
        <w:rPr>
          <w:rFonts w:ascii="Calibri" w:cs="Calibri" w:eastAsia="Calibri" w:hAnsi="Calibri"/>
          <w:b w:val="false"/>
          <w:bCs w:val="false"/>
          <w:i w:val="false"/>
          <w:iCs w:val="false"/>
          <w:sz w:val="22"/>
          <w:szCs w:val="22"/>
        </w:rPr>
        <w:t xml:space="preserve">Besteed aandacht aan het verschil tussen mannen en vrouwen — dit is een detail dat concreet maakt dat een prognosetafel geen simpel enkelvoudig getal is maar een genuanceerd instrument met verschillende patronen per groep.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Individueel versus collectief langlevenrisico.</w:t>
      </w:r>
      <w:r>
        <w:rPr>
          <w:rFonts w:ascii="Calibri" w:cs="Calibri" w:eastAsia="Calibri" w:hAnsi="Calibri"/>
          <w:b w:val="false"/>
          <w:bCs w:val="false"/>
          <w:i w:val="false"/>
          <w:iCs w:val="false"/>
          <w:sz w:val="22"/>
          <w:szCs w:val="22"/>
        </w:rPr>
        <w:t xml:space="preserve"> Dit onderscheid is de conceptuele kern van de actuariële wetenschap in het klein. Bij opdracht 28.3: laat de groep zelf het onderscheid verwoorden vóórdat je het bevestigt. Het sluitstuk van dit onderdeel: leg uit waarom fondsen en verzekeraars zoveel energie steken in een instrument (de prognosetafel) dat specifiek het niet-diversifieerbare risico probeert te vangen — het diversifieerbare deel lost zichzelf al op binnen een groot bestand.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Koppeling met eerdere delen.</w:t>
      </w:r>
      <w:r>
        <w:rPr>
          <w:rFonts w:ascii="Calibri" w:cs="Calibri" w:eastAsia="Calibri" w:hAnsi="Calibri"/>
          <w:b w:val="false"/>
          <w:bCs w:val="false"/>
          <w:i w:val="false"/>
          <w:iCs w:val="false"/>
          <w:sz w:val="22"/>
          <w:szCs w:val="22"/>
        </w:rPr>
        <w:t xml:space="preserve"> Dit is het moment waarop de “verspreide aanwezigheid” van het langlevenrisico door de hele cursus zichtbaar wordt gemaakt. Loop de vier koppelingen (projectierendement, garanties, invaren, sleutelfunctie) kort maar expliciet langs. Bij opdracht 28.5: dit is een directe, concrete toepassing van een governance-rol die in deel 25 nog abstract bleef — benadruk dat contrast.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Solvabiliteit.</w:t>
      </w:r>
      <w:r>
        <w:rPr>
          <w:rFonts w:ascii="Calibri" w:cs="Calibri" w:eastAsia="Calibri" w:hAnsi="Calibri"/>
          <w:b w:val="false"/>
          <w:bCs w:val="false"/>
          <w:i w:val="false"/>
          <w:iCs w:val="false"/>
          <w:sz w:val="22"/>
          <w:szCs w:val="22"/>
        </w:rPr>
        <w:t xml:space="preserve"> Houd dit toegankelijk; het gaat niet om een uitputtende Solvency II-behandeling maar om het principe: hogere levensverwachting → hogere benodigde voorziening → meer kapitaal nodig. Bij opdracht 28.6: laat de groep de opties zelf bedenken vóórdat je ze aanvult.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Offertevergelijking.</w:t>
      </w:r>
      <w:r>
        <w:rPr>
          <w:rFonts w:ascii="Calibri" w:cs="Calibri" w:eastAsia="Calibri" w:hAnsi="Calibri"/>
          <w:b w:val="false"/>
          <w:bCs w:val="false"/>
          <w:i w:val="false"/>
          <w:iCs w:val="false"/>
          <w:sz w:val="22"/>
          <w:szCs w:val="22"/>
        </w:rPr>
        <w:t xml:space="preserve"> Sluit af met een praktische toepassing die de abstracte stof weer aardt in de adviespraktijk: twee offertes kunnen op verschillende tafelversies zijn gebaseerd. Bij opdracht 28.7: benadruk dat dit een punt van verificatie is, geen automatisch afkeurpunt — vergelijkbaar met de nuance bij de waarborgbepaling in deel 14, waar het ontbreken van iets een signaal is om te onderzoeken, niet meteen een dealbreaker.</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“Moeten adviseurs de prognosetafel zelf kunnen berekenen?”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Nee — dat is specialistisch actuarieel werk. Het doel van dit deel is begrip van de aanname en haar gevolgen, niet de vaardigheid om zelf een tafel te construeren.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 vaak verandert een prognosetafel het advies aan een individuele werkgever?”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Zelden direct merkbaar voor een individuele offerte, maar wel relevant op de langere termijn voor de soliditeit van garantieproducten en voor grote fondsbesluiten zoals invaren.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AG2024 de meest recente tafel, of kan er inmiddels een nieuwere zijn?”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Gezien de tweejaarlijkse cyclus, controleer bij een concreet advies altijd of er een recentere tafel is gepubliceerd — dezelfde discipline als bij elk ander cijfer in deze cursus.</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Een eenvoudige grafiek van de oversterfteterm en het verschil tussen de AG2022- en AG2024-aanname</w:t>
      </w:r>
    </w:p>
    <w:p>
      <w:pPr>
        <w:pStyle w:val="ListParagraph"/>
        <w:numPr>
          <w:ilvl w:val="0"/>
          <w:numId w:val="1"/>
        </w:numPr>
        <w:spacing w:after="80"/>
      </w:pPr>
      <w:r>
        <w:rPr>
          <w:rFonts w:ascii="Calibri" w:cs="Calibri" w:eastAsia="Calibri" w:hAnsi="Calibri"/>
          <w:sz w:val="22"/>
          <w:szCs w:val="22"/>
        </w:rPr>
        <w:t xml:space="preserve">Het koppelingsoverzicht (projectierendement, garanties, invaren, sleutelfunctie) als flap</w:t>
      </w:r>
    </w:p>
    <w:p>
      <w:pPr>
        <w:pStyle w:val="ListParagraph"/>
        <w:numPr>
          <w:ilvl w:val="0"/>
          <w:numId w:val="1"/>
        </w:numPr>
        <w:spacing w:after="80"/>
      </w:pPr>
      <w:r>
        <w:rPr>
          <w:rFonts w:ascii="Calibri" w:cs="Calibri" w:eastAsia="Calibri" w:hAnsi="Calibri"/>
          <w:sz w:val="22"/>
          <w:szCs w:val="22"/>
        </w:rPr>
        <w:t xml:space="preserve">Actuele stand van de prognosetafel gecontroleerd vóór de sessie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28.6, 28.7 en 28.8. Kondig deel 29 aan: een casuïstiek-marathon die de hele cursus, in de breedte, test.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2026-08-17T11:22:46.245Z</dcterms:created>
  <dcterms:modified xsi:type="dcterms:W3CDTF">2026-08-17T11:22:46.245Z</dcterms:modified>
</cp:coreProperties>
</file>

<file path=docProps/custom.xml><?xml version="1.0" encoding="utf-8"?>
<Properties xmlns="http://schemas.openxmlformats.org/officeDocument/2006/custom-properties" xmlns:vt="http://schemas.openxmlformats.org/officeDocument/2006/docPropsVTypes"/>
</file>