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28 — Actuariële grondslagen, solvabiliteit en langlevenrisico</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28 — Actuariële grondslagen, solvabiliteit en langlevenrisico</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28.1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prognosetafel als instrument voor levensverwachting plaatsen en de tweejaarlijkse actualisatiecyclus beschrijven;</w:t>
      </w:r>
    </w:p>
    <w:p>
      <w:pPr>
        <w:pStyle w:val="ListParagraph"/>
        <w:numPr>
          <w:ilvl w:val="0"/>
          <w:numId w:val="1"/>
        </w:numPr>
        <w:spacing w:after="80"/>
      </w:pPr>
      <w:r>
        <w:rPr>
          <w:rFonts w:ascii="Calibri" w:cs="Calibri" w:eastAsia="Calibri" w:hAnsi="Calibri"/>
          <w:sz w:val="22"/>
          <w:szCs w:val="22"/>
        </w:rPr>
        <w:t xml:space="preserve">2. de recente bijstelling (AG2024) inhoudelijk toelichten, inclusief de rol van oversterfte;</w:t>
      </w:r>
    </w:p>
    <w:p>
      <w:pPr>
        <w:pStyle w:val="ListParagraph"/>
        <w:numPr>
          <w:ilvl w:val="0"/>
          <w:numId w:val="1"/>
        </w:numPr>
        <w:spacing w:after="80"/>
      </w:pPr>
      <w:r>
        <w:rPr>
          <w:rFonts w:ascii="Calibri" w:cs="Calibri" w:eastAsia="Calibri" w:hAnsi="Calibri"/>
          <w:sz w:val="22"/>
          <w:szCs w:val="22"/>
        </w:rPr>
        <w:t xml:space="preserve">3. het langlevenrisico definiëren en het onderscheid maken tussen individueel en collectief langlevenrisico;</w:t>
      </w:r>
    </w:p>
    <w:p>
      <w:pPr>
        <w:pStyle w:val="ListParagraph"/>
        <w:numPr>
          <w:ilvl w:val="0"/>
          <w:numId w:val="1"/>
        </w:numPr>
        <w:spacing w:after="80"/>
      </w:pPr>
      <w:r>
        <w:rPr>
          <w:rFonts w:ascii="Calibri" w:cs="Calibri" w:eastAsia="Calibri" w:hAnsi="Calibri"/>
          <w:sz w:val="22"/>
          <w:szCs w:val="22"/>
        </w:rPr>
        <w:t xml:space="preserve">4. de relatie tussen langlevenrisico en de eerdere cursusonderdelen (projectierendement, garanties, invaren) expliciet leggen;</w:t>
      </w:r>
    </w:p>
    <w:p>
      <w:pPr>
        <w:pStyle w:val="ListParagraph"/>
        <w:numPr>
          <w:ilvl w:val="0"/>
          <w:numId w:val="1"/>
        </w:numPr>
        <w:spacing w:after="80"/>
      </w:pPr>
      <w:r>
        <w:rPr>
          <w:rFonts w:ascii="Calibri" w:cs="Calibri" w:eastAsia="Calibri" w:hAnsi="Calibri"/>
          <w:sz w:val="22"/>
          <w:szCs w:val="22"/>
        </w:rPr>
        <w:t xml:space="preserve">5. de rol van de sleutelfunctie actuariaat (deel 25) concreet maken aan de hand van de prognosetafel;</w:t>
      </w:r>
    </w:p>
    <w:p>
      <w:pPr>
        <w:pStyle w:val="ListParagraph"/>
        <w:numPr>
          <w:ilvl w:val="0"/>
          <w:numId w:val="1"/>
        </w:numPr>
        <w:spacing w:after="80"/>
      </w:pPr>
      <w:r>
        <w:rPr>
          <w:rFonts w:ascii="Calibri" w:cs="Calibri" w:eastAsia="Calibri" w:hAnsi="Calibri"/>
          <w:sz w:val="22"/>
          <w:szCs w:val="22"/>
        </w:rPr>
        <w:t xml:space="preserve">6. de gevoeligheid van Meridiaans productprijsstelling voor een gewijzigde prognosetafel inschatten.</w:t>
      </w:r>
    </w:p>
    <w:p>
      <w:pPr>
        <w:spacing w:after="100"/>
      </w:pPr>
    </w:p>
    <w:p>
      <w:pPr>
        <w:pStyle w:val="Heading2"/>
        <w:spacing w:after="120" w:before="200"/>
      </w:pPr>
      <w:r>
        <w:rPr>
          <w:rFonts w:ascii="Georgia" w:cs="Georgia" w:eastAsia="Georgia" w:hAnsi="Georgia"/>
          <w:b/>
          <w:bCs/>
          <w:color w:val="2563A8"/>
          <w:sz w:val="28"/>
          <w:szCs w:val="28"/>
        </w:rPr>
        <w:t xml:space="preserve">28.2 De achtergrond die tot nu toe ontbrak</w:t>
      </w:r>
    </w:p>
    <w:p>
      <w:pPr>
        <w:spacing w:after="140" w:line="300"/>
      </w:pPr>
      <w:r>
        <w:rPr>
          <w:rFonts w:ascii="Calibri" w:cs="Calibri" w:eastAsia="Calibri" w:hAnsi="Calibri"/>
          <w:b w:val="false"/>
          <w:bCs w:val="false"/>
          <w:i w:val="false"/>
          <w:iCs w:val="false"/>
          <w:sz w:val="22"/>
          <w:szCs w:val="22"/>
        </w:rPr>
        <w:t xml:space="preserve">Door de hele cursus heen zijn begrippen langsgekomen die stilzwijgend op één onderliggende aanname steunen: hoe lang leven mensen naar verwachting? Het projectierendement (deel 13), de prijsstelling van een garantiecontract (deel 12), de waardering bij invaren (deel 16), en nu de prijsstelling van een verzekeraarsproduct (deel 27) — al deze onderwerpen hebben een levensverwachtingsaanname nodig om te kunnen functioneren. Dit deel behandelt die aanname zelf.</w:t>
      </w:r>
    </w:p>
    <w:p>
      <w:pPr>
        <w:spacing w:after="100"/>
      </w:pPr>
    </w:p>
    <w:p>
      <w:pPr>
        <w:pStyle w:val="Heading2"/>
        <w:spacing w:after="120" w:before="200"/>
      </w:pPr>
      <w:r>
        <w:rPr>
          <w:rFonts w:ascii="Georgia" w:cs="Georgia" w:eastAsia="Georgia" w:hAnsi="Georgia"/>
          <w:b/>
          <w:bCs/>
          <w:color w:val="2563A8"/>
          <w:sz w:val="28"/>
          <w:szCs w:val="28"/>
        </w:rPr>
        <w:t xml:space="preserve">28.3 De prognosetafel</w:t>
      </w:r>
    </w:p>
    <w:p>
      <w:pPr>
        <w:spacing w:after="140" w:line="300"/>
      </w:pPr>
      <w:r>
        <w:rPr>
          <w:rFonts w:ascii="Calibri" w:cs="Calibri" w:eastAsia="Calibri" w:hAnsi="Calibri"/>
          <w:b w:val="false"/>
          <w:bCs w:val="false"/>
          <w:i w:val="false"/>
          <w:iCs w:val="false"/>
          <w:sz w:val="22"/>
          <w:szCs w:val="22"/>
        </w:rPr>
        <w:t xml:space="preserve">Een prognosetafel geeft, per leeftijd en per toekomstig jaar, de verwachte sterftekans voor mannen en vrouwen. &lt;cite index=“160-1”&gt;Het Koninklijk Actuarieel Genootschap (AG) publiceert sinds 2010 tweejaarlijks een nieuwe prognosetafel&lt;/cite&gt;, gebaseerd op historische en recente sterftedata.</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een prognose, en geen vaste tafel?</w:t>
      </w:r>
      <w:r>
        <w:rPr>
          <w:rFonts w:ascii="Calibri" w:cs="Calibri" w:eastAsia="Calibri" w:hAnsi="Calibri"/>
          <w:b w:val="false"/>
          <w:bCs w:val="false"/>
          <w:i w:val="false"/>
          <w:iCs w:val="false"/>
          <w:sz w:val="22"/>
          <w:szCs w:val="22"/>
        </w:rPr>
        <w:t xml:space="preserve"> Levensverwachting is geen constante: zij stijgt over de decennia gestaag door medische vooruitgang, welvaart en levensstijl. Een tafel die alleen het verleden weergeeft, zou de toekomstige levensverwachting stelselmatig onderschatten — met als gevolg een té lage prijsstelling voor levenslange uitkeringen en een te snel opgesoupeerd pensioenvermogen. Vandaar dat de tafel een </w:t>
      </w:r>
      <w:r>
        <w:rPr>
          <w:rFonts w:ascii="Calibri" w:cs="Calibri" w:eastAsia="Calibri" w:hAnsi="Calibri"/>
          <w:b/>
          <w:bCs/>
          <w:i w:val="false"/>
          <w:iCs w:val="false"/>
          <w:sz w:val="22"/>
          <w:szCs w:val="22"/>
        </w:rPr>
        <w:t xml:space="preserve">prognose</w:t>
      </w:r>
      <w:r>
        <w:rPr>
          <w:rFonts w:ascii="Calibri" w:cs="Calibri" w:eastAsia="Calibri" w:hAnsi="Calibri"/>
          <w:b w:val="false"/>
          <w:bCs w:val="false"/>
          <w:i w:val="false"/>
          <w:iCs w:val="false"/>
          <w:sz w:val="22"/>
          <w:szCs w:val="22"/>
        </w:rPr>
        <w:t xml:space="preserve"> is: een doorgetrokken inschatting van de toekomstige ontwikkeling, niet alleen een foto van het verleden.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actualisatiecyclus.</w:t>
      </w:r>
      <w:r>
        <w:rPr>
          <w:rFonts w:ascii="Calibri" w:cs="Calibri" w:eastAsia="Calibri" w:hAnsi="Calibri"/>
          <w:b w:val="false"/>
          <w:bCs w:val="false"/>
          <w:i w:val="false"/>
          <w:iCs w:val="false"/>
          <w:sz w:val="22"/>
          <w:szCs w:val="22"/>
        </w:rPr>
        <w:t xml:space="preserve"> &lt;cite index=“159-1”&gt;Elke prognosetafel vervangt de voorgaande&lt;/cite&gt;, met een vaste tweejaarlijkse herzieningsfrequentie. Dit is dezelfde discipline die je in deze cursus al bij fiscale cijfers (deel 11) en het U-rendement (deel 26) hebt geleerd: een cijfer dat vandaag actueel is, kan dat over twee jaar niet meer zijn, en een adviseur of actuaris moet dit stelselmatig controleren.</w:t>
      </w:r>
    </w:p>
    <w:p>
      <w:pPr>
        <w:spacing w:after="100"/>
      </w:pPr>
    </w:p>
    <w:p>
      <w:pPr>
        <w:pStyle w:val="Heading2"/>
        <w:spacing w:after="120" w:before="200"/>
      </w:pPr>
      <w:r>
        <w:rPr>
          <w:rFonts w:ascii="Georgia" w:cs="Georgia" w:eastAsia="Georgia" w:hAnsi="Georgia"/>
          <w:b/>
          <w:bCs/>
          <w:color w:val="2563A8"/>
          <w:sz w:val="28"/>
          <w:szCs w:val="28"/>
        </w:rPr>
        <w:t xml:space="preserve">28.4 AG2024: de meest recente herziening</w:t>
      </w:r>
    </w:p>
    <w:p>
      <w:pPr>
        <w:spacing w:after="140" w:line="300"/>
      </w:pPr>
      <w:r>
        <w:rPr>
          <w:rFonts w:ascii="Calibri" w:cs="Calibri" w:eastAsia="Calibri" w:hAnsi="Calibri"/>
          <w:b w:val="false"/>
          <w:bCs w:val="false"/>
          <w:i w:val="false"/>
          <w:iCs w:val="false"/>
          <w:sz w:val="22"/>
          <w:szCs w:val="22"/>
        </w:rPr>
        <w:t xml:space="preserve">&lt;cite index=“158-1”&gt;Op 12 september 2024 publiceerde het AG de prognosetafel AG2024, ter vervanging van AG2022.&lt;/cite&gt;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kern van de wijziging: de oversterfteterm.</w:t>
      </w:r>
      <w:r>
        <w:rPr>
          <w:rFonts w:ascii="Calibri" w:cs="Calibri" w:eastAsia="Calibri" w:hAnsi="Calibri"/>
          <w:b w:val="false"/>
          <w:bCs w:val="false"/>
          <w:i w:val="false"/>
          <w:iCs w:val="false"/>
          <w:sz w:val="22"/>
          <w:szCs w:val="22"/>
        </w:rPr>
        <w:t xml:space="preserve"> Sinds de coronapandemie houdt Nederland rekening met </w:t>
      </w:r>
      <w:r>
        <w:rPr>
          <w:rFonts w:ascii="Calibri" w:cs="Calibri" w:eastAsia="Calibri" w:hAnsi="Calibri"/>
          <w:b/>
          <w:bCs/>
          <w:i w:val="false"/>
          <w:iCs w:val="false"/>
          <w:sz w:val="22"/>
          <w:szCs w:val="22"/>
        </w:rPr>
        <w:t xml:space="preserve">oversterfte</w:t>
      </w:r>
      <w:r>
        <w:rPr>
          <w:rFonts w:ascii="Calibri" w:cs="Calibri" w:eastAsia="Calibri" w:hAnsi="Calibri"/>
          <w:b w:val="false"/>
          <w:bCs w:val="false"/>
          <w:i w:val="false"/>
          <w:iCs w:val="false"/>
          <w:sz w:val="22"/>
          <w:szCs w:val="22"/>
        </w:rPr>
        <w:t xml:space="preserve"> — meer sterfgevallen dan de onderliggende langetermijntrend zou voorspellen. De vraag voor elke nieuwe prognosetafel is: hoe snel dooft dat verhoogde sterfteniveau weer uit?</w:t>
      </w:r>
    </w:p>
    <w:p>
      <w:pPr>
        <w:spacing w:after="140" w:line="300"/>
      </w:pPr>
      <w:r>
        <w:rPr>
          <w:rFonts w:ascii="Calibri" w:cs="Calibri" w:eastAsia="Calibri" w:hAnsi="Calibri"/>
          <w:b w:val="false"/>
          <w:bCs w:val="false"/>
          <w:i w:val="false"/>
          <w:iCs w:val="false"/>
          <w:sz w:val="22"/>
          <w:szCs w:val="22"/>
        </w:rPr>
        <w:t xml:space="preserve">&lt;cite index=“162-1”&gt;In AG2022 werd aangenomen dat de oversterfte per jaar zou halveren. Op basis van de meest recente sterftedata (2022 en 2023) bleek dat te optimistisch: de sterfte daalde minder snel dan verwacht.&lt;/cite&gt; &lt;cite index=“162-1”&gt;AG2024 stelt daarom bij: de oversterfte neemt jaarlijks nog maar met 25% af, in plaats van 50%.&lt;/cite&gt;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Verschil tussen mannen en vrouwen.</w:t>
      </w:r>
      <w:r>
        <w:rPr>
          <w:rFonts w:ascii="Calibri" w:cs="Calibri" w:eastAsia="Calibri" w:hAnsi="Calibri"/>
          <w:b w:val="false"/>
          <w:bCs w:val="false"/>
          <w:i w:val="false"/>
          <w:iCs w:val="false"/>
          <w:sz w:val="22"/>
          <w:szCs w:val="22"/>
        </w:rPr>
        <w:t xml:space="preserve"> &lt;cite index=“158-1”&gt;De oversterfte bij mannen is aanzienlijk afgenomen ten opzichte van de eerste coronajaren, terwijl die bij vrouwen op een vergelijkbaar niveau is gebleven — met een stijging van de oversterfteterm en dus hogere sterftekansen op korte termijn voor vrouwen.&lt;/cite&gt;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uitgangspunt blijft: tijdelijk, niet blijvend.</w:t>
      </w:r>
      <w:r>
        <w:rPr>
          <w:rFonts w:ascii="Calibri" w:cs="Calibri" w:eastAsia="Calibri" w:hAnsi="Calibri"/>
          <w:b w:val="false"/>
          <w:bCs w:val="false"/>
          <w:i w:val="false"/>
          <w:iCs w:val="false"/>
          <w:sz w:val="22"/>
          <w:szCs w:val="22"/>
        </w:rPr>
        <w:t xml:space="preserve"> &lt;cite index=“159-1”&gt;AG2024 gaat er nog steeds van uit dat de oversterfte uiteindelijk uitdooft en de levensverwachting op lange termijn weer aansluit bij de historische trend&lt;/cite&gt; — alleen langzamer dan in AG2022 werd voorzien.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Praktisch effect.</w:t>
      </w:r>
      <w:r>
        <w:rPr>
          <w:rFonts w:ascii="Calibri" w:cs="Calibri" w:eastAsia="Calibri" w:hAnsi="Calibri"/>
          <w:b w:val="false"/>
          <w:bCs w:val="false"/>
          <w:i w:val="false"/>
          <w:iCs w:val="false"/>
          <w:sz w:val="22"/>
          <w:szCs w:val="22"/>
        </w:rPr>
        <w:t xml:space="preserve"> Een langzamer uitdovende oversterfte betekent een enigszins lagere geprognosticeerde levensverwachting op de korte en middellange termijn dan AG2022 voorspelde — met een direct effect op de prijsstelling van producten die op langlevenrisico steunen (27.5) en op de waardering van bestaande verplichtingen bij fondsen (deel 16, 24).</w:t>
      </w:r>
    </w:p>
    <w:p>
      <w:pPr>
        <w:spacing w:after="100"/>
      </w:pPr>
    </w:p>
    <w:p>
      <w:pPr>
        <w:pStyle w:val="Heading2"/>
        <w:spacing w:after="120" w:before="200"/>
      </w:pPr>
      <w:r>
        <w:rPr>
          <w:rFonts w:ascii="Georgia" w:cs="Georgia" w:eastAsia="Georgia" w:hAnsi="Georgia"/>
          <w:b/>
          <w:bCs/>
          <w:color w:val="2563A8"/>
          <w:sz w:val="28"/>
          <w:szCs w:val="28"/>
        </w:rPr>
        <w:t xml:space="preserve">28.5 Langlevenrisico: individueel en collectief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Individueel langlevenrisico.</w:t>
      </w:r>
      <w:r>
        <w:rPr>
          <w:rFonts w:ascii="Calibri" w:cs="Calibri" w:eastAsia="Calibri" w:hAnsi="Calibri"/>
          <w:b w:val="false"/>
          <w:bCs w:val="false"/>
          <w:i w:val="false"/>
          <w:iCs w:val="false"/>
          <w:sz w:val="22"/>
          <w:szCs w:val="22"/>
        </w:rPr>
        <w:t xml:space="preserve"> Het risico dat één specifieke persoon langer leeft dan de gemiddelde verwachting, waardoor zijn pensioenvermogen (bij een variabele uitkering, deel 13) of de door de verzekeraar aangehouden voorziening (bij een vaste uitkering) ontoereikend blijkt.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Collectief langlevenrisico.</w:t>
      </w:r>
      <w:r>
        <w:rPr>
          <w:rFonts w:ascii="Calibri" w:cs="Calibri" w:eastAsia="Calibri" w:hAnsi="Calibri"/>
          <w:b w:val="false"/>
          <w:bCs w:val="false"/>
          <w:i w:val="false"/>
          <w:iCs w:val="false"/>
          <w:sz w:val="22"/>
          <w:szCs w:val="22"/>
        </w:rPr>
        <w:t xml:space="preserve"> Het risico dat de </w:t>
      </w:r>
      <w:r>
        <w:rPr>
          <w:rFonts w:ascii="Calibri" w:cs="Calibri" w:eastAsia="Calibri" w:hAnsi="Calibri"/>
          <w:b/>
          <w:bCs/>
          <w:i w:val="false"/>
          <w:iCs w:val="false"/>
          <w:sz w:val="22"/>
          <w:szCs w:val="22"/>
        </w:rPr>
        <w:t xml:space="preserve">gemiddelde</w:t>
      </w:r>
      <w:r>
        <w:rPr>
          <w:rFonts w:ascii="Calibri" w:cs="Calibri" w:eastAsia="Calibri" w:hAnsi="Calibri"/>
          <w:b w:val="false"/>
          <w:bCs w:val="false"/>
          <w:i w:val="false"/>
          <w:iCs w:val="false"/>
          <w:sz w:val="22"/>
          <w:szCs w:val="22"/>
        </w:rPr>
        <w:t xml:space="preserve"> levensverwachting van een hele groep hoger uitvalt dan geprognosticeerd — precies het risico dat de prognosetafel probeert te vangen, en dat AG2024 nu bijstelt.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het onderscheid ertoe doet.</w:t>
      </w:r>
      <w:r>
        <w:rPr>
          <w:rFonts w:ascii="Calibri" w:cs="Calibri" w:eastAsia="Calibri" w:hAnsi="Calibri"/>
          <w:b w:val="false"/>
          <w:bCs w:val="false"/>
          <w:i w:val="false"/>
          <w:iCs w:val="false"/>
          <w:sz w:val="22"/>
          <w:szCs w:val="22"/>
        </w:rPr>
        <w:t xml:space="preserve"> Individueel langlevenrisico kan binnen een groot collectief worden gediversifieerd: de een leeft korter, de ander langer, en gemiddeld komt het uit. Collectief langlevenrisico — de hele prognose blijkt structureel te laag — kan niet op die manier worden weggediversifieerd binnen één fonds of verzekeraar; het treft iedereen tegelijk in dezelfde richting. Dit is precies waarom prognosetafels zo’n zwaargewicht instrument zijn: zij proberen het niet-diversifieerbare deel van het risico te vangen.</w:t>
      </w:r>
    </w:p>
    <w:p>
      <w:pPr>
        <w:spacing w:after="100"/>
      </w:pPr>
    </w:p>
    <w:p>
      <w:pPr>
        <w:pStyle w:val="Heading2"/>
        <w:spacing w:after="120" w:before="200"/>
      </w:pPr>
      <w:r>
        <w:rPr>
          <w:rFonts w:ascii="Georgia" w:cs="Georgia" w:eastAsia="Georgia" w:hAnsi="Georgia"/>
          <w:b/>
          <w:bCs/>
          <w:color w:val="2563A8"/>
          <w:sz w:val="28"/>
          <w:szCs w:val="28"/>
        </w:rPr>
        <w:t xml:space="preserve">28.6 De koppeling met eerdere delen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Projectierendement (deel 13).</w:t>
      </w:r>
      <w:r>
        <w:rPr>
          <w:rFonts w:ascii="Calibri" w:cs="Calibri" w:eastAsia="Calibri" w:hAnsi="Calibri"/>
          <w:b w:val="false"/>
          <w:bCs w:val="false"/>
          <w:i w:val="false"/>
          <w:iCs w:val="false"/>
          <w:sz w:val="22"/>
          <w:szCs w:val="22"/>
        </w:rPr>
        <w:t xml:space="preserve"> Het projectierendement bepaalt hoeveel rendement wordt ingerekend; de prognosetafel bepaalt hoe lang de uitkering naar verwachting moet duren. Beide samen bepalen de hoogte van een variabele uitkering. Een bijstelling zoals AG2024 werkt door in nieuwe berekeningen, ook al is het projectierendement zelf ongewijzigd.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Garantiecontracten (deel 12).</w:t>
      </w:r>
      <w:r>
        <w:rPr>
          <w:rFonts w:ascii="Calibri" w:cs="Calibri" w:eastAsia="Calibri" w:hAnsi="Calibri"/>
          <w:b w:val="false"/>
          <w:bCs w:val="false"/>
          <w:i w:val="false"/>
          <w:iCs w:val="false"/>
          <w:sz w:val="22"/>
          <w:szCs w:val="22"/>
        </w:rPr>
        <w:t xml:space="preserve"> Een verzekeraar die een gegarandeerd kapitaal of rendement aanbiedt, draagt het langlevenrisico voor die polishouders. &lt;cite index=“158-1”&gt;Een verhoogde of langzamer dalende oversterfte-inschatting kan de benodigde kapitaalbuffer voor die garanties beïnvloeden&lt;/cite&gt; — een direct verband met de Solvency II-kapitaalseisen die in deel 12 zijn geïntroduceerd.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Invaren (deel 16, 24).</w:t>
      </w:r>
      <w:r>
        <w:rPr>
          <w:rFonts w:ascii="Calibri" w:cs="Calibri" w:eastAsia="Calibri" w:hAnsi="Calibri"/>
          <w:b w:val="false"/>
          <w:bCs w:val="false"/>
          <w:i w:val="false"/>
          <w:iCs w:val="false"/>
          <w:sz w:val="22"/>
          <w:szCs w:val="22"/>
        </w:rPr>
        <w:t xml:space="preserve"> Bij het waarderen van bestaande aanspraken bij invaren wordt eveneens met een levensverwachtingsaanname gerekend. Een nieuwe prognosetafel kan dus, tussen het moment van een eerdere doorrekening en het daadwerkelijke invaarmoment, tot een noodzakelijke herziening van de waardering leiden — een extra reden waarom “bestandspecifieke onderbouwing” (deel 24) een actuele, niet een verouderde tafel moet gebruiken.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Sleutelfunctie actuariaat (deel 25).</w:t>
      </w:r>
      <w:r>
        <w:rPr>
          <w:rFonts w:ascii="Calibri" w:cs="Calibri" w:eastAsia="Calibri" w:hAnsi="Calibri"/>
          <w:b w:val="false"/>
          <w:bCs w:val="false"/>
          <w:i w:val="false"/>
          <w:iCs w:val="false"/>
          <w:sz w:val="22"/>
          <w:szCs w:val="22"/>
        </w:rPr>
        <w:t xml:space="preserve"> Het is precies deze sleutelfunctie die verantwoordelijk is voor het tijdig signaleren en verwerken van een nieuwe prognosetafel in de eigen berekeningen van een fonds of verzekeraar — een concrete, tastbare invulling van een governance-rol die in deel 25 nog abstract bleef.</w:t>
      </w:r>
    </w:p>
    <w:p>
      <w:pPr>
        <w:spacing w:after="100"/>
      </w:pPr>
    </w:p>
    <w:p>
      <w:pPr>
        <w:pStyle w:val="Heading2"/>
        <w:spacing w:after="120" w:before="200"/>
      </w:pPr>
      <w:r>
        <w:rPr>
          <w:rFonts w:ascii="Georgia" w:cs="Georgia" w:eastAsia="Georgia" w:hAnsi="Georgia"/>
          <w:b/>
          <w:bCs/>
          <w:color w:val="2563A8"/>
          <w:sz w:val="28"/>
          <w:szCs w:val="28"/>
        </w:rPr>
        <w:t xml:space="preserve">28.7 Solvabiliteit in het kort</w:t>
      </w:r>
    </w:p>
    <w:p>
      <w:pPr>
        <w:spacing w:after="140" w:line="300"/>
      </w:pPr>
      <w:r>
        <w:rPr>
          <w:rFonts w:ascii="Calibri" w:cs="Calibri" w:eastAsia="Calibri" w:hAnsi="Calibri"/>
          <w:b w:val="false"/>
          <w:bCs w:val="false"/>
          <w:i w:val="false"/>
          <w:iCs w:val="false"/>
          <w:sz w:val="22"/>
          <w:szCs w:val="22"/>
        </w:rPr>
        <w:t xml:space="preserve">Solvency II (deel 1, 12) vereist dat een verzekeraar voldoende kapitaal aanhoudt om zijn verplichtingen, inclusief langlevenrisico, met een hoge mate van zekerheid te kunnen nakomen. Een bijstelling van de prognosetafel richting een hogere verwachte levensverwachting (op de lange termijn, ondanks de tijdelijke oversterfte-bijstelling) betekent doorgaans een hogere benodigde voorziening voor bestaande garantieverplichtingen — kapitaal dat de verzekeraar dan moet aanhouden of aantrekken.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een cyclisch, geen eenmalig vraagstuk is.</w:t>
      </w:r>
      <w:r>
        <w:rPr>
          <w:rFonts w:ascii="Calibri" w:cs="Calibri" w:eastAsia="Calibri" w:hAnsi="Calibri"/>
          <w:b w:val="false"/>
          <w:bCs w:val="false"/>
          <w:i w:val="false"/>
          <w:iCs w:val="false"/>
          <w:sz w:val="22"/>
          <w:szCs w:val="22"/>
        </w:rPr>
        <w:t xml:space="preserve"> Elke tweejaarlijkse tafelherziening kan de solvabiliteitspositie van een verzekeraar of een fonds beïnvloeden, in beide richtingen. Dit is een van de redenen waarom risicobeheer (deel 25) een doorlopende, geen eenmalige functie is.</w:t>
      </w:r>
    </w:p>
    <w:p>
      <w:pPr>
        <w:spacing w:after="100"/>
      </w:pPr>
    </w:p>
    <w:p>
      <w:pPr>
        <w:pStyle w:val="Heading2"/>
        <w:spacing w:after="120" w:before="200"/>
      </w:pPr>
      <w:r>
        <w:rPr>
          <w:rFonts w:ascii="Georgia" w:cs="Georgia" w:eastAsia="Georgia" w:hAnsi="Georgia"/>
          <w:b/>
          <w:bCs/>
          <w:color w:val="2563A8"/>
          <w:sz w:val="28"/>
          <w:szCs w:val="28"/>
        </w:rPr>
        <w:t xml:space="preserve">28.8 Toepassing: Meridiaans Wtp-propositie herzien</w:t>
      </w:r>
    </w:p>
    <w:p>
      <w:pPr>
        <w:spacing w:after="140" w:line="300"/>
      </w:pPr>
      <w:r>
        <w:rPr>
          <w:rFonts w:ascii="Calibri" w:cs="Calibri" w:eastAsia="Calibri" w:hAnsi="Calibri"/>
          <w:b w:val="false"/>
          <w:bCs w:val="false"/>
          <w:i w:val="false"/>
          <w:iCs w:val="false"/>
          <w:sz w:val="22"/>
          <w:szCs w:val="22"/>
        </w:rPr>
        <w:t xml:space="preserve">Terug naar deel 27: Meridiaan heeft een Wtp-propositie geprijsd. Als AG2024, of een toekomstige opvolger, tot een noemenswaardige bijstelling van de verwachte levensverwachting leidt, wat gebeurt er dan?</w:t>
      </w:r>
    </w:p>
    <w:p>
      <w:pPr>
        <w:pStyle w:val="ListParagraph"/>
        <w:numPr>
          <w:ilvl w:val="0"/>
          <w:numId w:val="1"/>
        </w:numPr>
        <w:spacing w:after="80"/>
      </w:pPr>
      <w:r>
        <w:rPr>
          <w:rFonts w:ascii="Calibri" w:cs="Calibri" w:eastAsia="Calibri" w:hAnsi="Calibri"/>
          <w:sz w:val="22"/>
          <w:szCs w:val="22"/>
        </w:rPr>
        <w:t xml:space="preserve">1. Bestaande garantiecontracten moeten mogelijk worden herwaardeerd, met gevolgen voor de aangehouden voorzieningen (28.7).</w:t>
      </w:r>
    </w:p>
    <w:p>
      <w:pPr>
        <w:pStyle w:val="ListParagraph"/>
        <w:numPr>
          <w:ilvl w:val="0"/>
          <w:numId w:val="1"/>
        </w:numPr>
        <w:spacing w:after="80"/>
      </w:pPr>
      <w:r>
        <w:rPr>
          <w:rFonts w:ascii="Calibri" w:cs="Calibri" w:eastAsia="Calibri" w:hAnsi="Calibri"/>
          <w:sz w:val="22"/>
          <w:szCs w:val="22"/>
        </w:rPr>
        <w:t xml:space="preserve">2. Nieuwe offertes (deel 12, 14) worden vanaf de invoering van de nieuwe tafel op de bijgestelde aannames geprijsd — een werkgever die nu een offerte krijgt, ontvangt een prijs die op de meest recente tafel is gebaseerd, terwijl een oudere polis nog op de vorige tafel kan zijn geprijsd.</w:t>
      </w:r>
    </w:p>
    <w:p>
      <w:pPr>
        <w:pStyle w:val="ListParagraph"/>
        <w:numPr>
          <w:ilvl w:val="0"/>
          <w:numId w:val="1"/>
        </w:numPr>
        <w:spacing w:after="80"/>
      </w:pPr>
      <w:r>
        <w:rPr>
          <w:rFonts w:ascii="Calibri" w:cs="Calibri" w:eastAsia="Calibri" w:hAnsi="Calibri"/>
          <w:sz w:val="22"/>
          <w:szCs w:val="22"/>
        </w:rPr>
        <w:t xml:space="preserve">3. De doelgroepbepaling (deel 27) kan in theorie worden geraakt als de bijstelling een specifiek segment (bijvoorbeeld vrouwen boven de 55, gezien de bevinding uit paragraaf 28.4) onevenredig treft — een aandachtspunt voor de actuaris én de productontwikkelaar samen.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les voor de adviespraktijk.</w:t>
      </w:r>
      <w:r>
        <w:rPr>
          <w:rFonts w:ascii="Calibri" w:cs="Calibri" w:eastAsia="Calibri" w:hAnsi="Calibri"/>
          <w:b w:val="false"/>
          <w:bCs w:val="false"/>
          <w:i w:val="false"/>
          <w:iCs w:val="false"/>
          <w:sz w:val="22"/>
          <w:szCs w:val="22"/>
        </w:rPr>
        <w:t xml:space="preserve"> Wanneer een adviseur twee offertes van verschillende verzekeraars vergelijkt (deel 14), is het theoretisch denkbaar dat zij op verschillende prognosetafel-versies zijn gebaseerd, afhankelijk van het moment van doorrekening. Dit is zelden een doorslaggevend verschil voor een individuele werkgever, maar het hoort thuis in het rijtje factoren dat, net als kosten en garantieniveau (deel 12), in een grondige vergelijking wordt meegenomen.</w:t>
      </w:r>
    </w:p>
    <w:p>
      <w:pPr>
        <w:spacing w:after="100"/>
      </w:pPr>
    </w:p>
    <w:p>
      <w:pPr>
        <w:pStyle w:val="Heading2"/>
        <w:spacing w:after="120" w:before="200"/>
      </w:pPr>
      <w:r>
        <w:rPr>
          <w:rFonts w:ascii="Georgia" w:cs="Georgia" w:eastAsia="Georgia" w:hAnsi="Georgia"/>
          <w:b/>
          <w:bCs/>
          <w:color w:val="2563A8"/>
          <w:sz w:val="28"/>
          <w:szCs w:val="28"/>
        </w:rPr>
        <w:t xml:space="preserve">28.9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Prognosetafel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Tafel met verwachte sterftekansen per leeftijd en toekomstig jaar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AG2024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Meest recente prognosetafel van het Actuarieel Genootschap, sinds september 2024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Oversterfteterm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Correctie voor de tijdelijk verhoogde sterfte sinds de coronapandemie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langlevenrisico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 dat één persoon langer leeft dan verwacht — diversifieerbaar binnen een groep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Collectief langlevenrisico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 dat de hele prognose structureel te laag blijkt — niet diversifieerbaar</w:t>
            </w:r>
          </w:p>
        </w:tc>
      </w:tr>
    </w:tbl>
    <w:p>
      <w:pPr>
        <w:spacing w:after="100"/>
      </w:pPr>
    </w:p>
    <w:p>
      <w:pPr>
        <w:pStyle w:val="Heading2"/>
        <w:spacing w:after="120" w:before="200"/>
      </w:pPr>
      <w:r>
        <w:rPr>
          <w:rFonts w:ascii="Georgia" w:cs="Georgia" w:eastAsia="Georgia" w:hAnsi="Georgia"/>
          <w:b/>
          <w:bCs/>
          <w:color w:val="2563A8"/>
          <w:sz w:val="28"/>
          <w:szCs w:val="28"/>
        </w:rPr>
        <w:t xml:space="preserve">28.10 Samenvatting</w:t>
      </w:r>
    </w:p>
    <w:p>
      <w:pPr>
        <w:pStyle w:val="ListParagraph"/>
        <w:numPr>
          <w:ilvl w:val="0"/>
          <w:numId w:val="1"/>
        </w:numPr>
        <w:spacing w:after="80"/>
      </w:pPr>
      <w:r>
        <w:rPr>
          <w:rFonts w:ascii="Calibri" w:cs="Calibri" w:eastAsia="Calibri" w:hAnsi="Calibri"/>
          <w:sz w:val="22"/>
          <w:szCs w:val="22"/>
        </w:rPr>
        <w:t xml:space="preserve">De prognosetafel wordt tweejaarlijks herzien door het Actuarieel Genootschap; AG2024 is de meest recente versie, gepubliceerd in september 2024.</w:t>
      </w:r>
    </w:p>
    <w:p>
      <w:pPr>
        <w:pStyle w:val="ListParagraph"/>
        <w:numPr>
          <w:ilvl w:val="0"/>
          <w:numId w:val="1"/>
        </w:numPr>
        <w:spacing w:after="80"/>
      </w:pPr>
      <w:r>
        <w:rPr>
          <w:rFonts w:ascii="Calibri" w:cs="Calibri" w:eastAsia="Calibri" w:hAnsi="Calibri"/>
          <w:sz w:val="22"/>
          <w:szCs w:val="22"/>
        </w:rPr>
        <w:t xml:space="preserve">De kernwijziging in AG2024 is een langzamer uitdovende oversterfteterm (25% jaarlijkse afname in plaats van 50%), met een groter effect bij vrouwen dan bij mannen.</w:t>
      </w:r>
    </w:p>
    <w:p>
      <w:pPr>
        <w:pStyle w:val="ListParagraph"/>
        <w:numPr>
          <w:ilvl w:val="0"/>
          <w:numId w:val="1"/>
        </w:numPr>
        <w:spacing w:after="80"/>
      </w:pPr>
      <w:r>
        <w:rPr>
          <w:rFonts w:ascii="Calibri" w:cs="Calibri" w:eastAsia="Calibri" w:hAnsi="Calibri"/>
          <w:sz w:val="22"/>
          <w:szCs w:val="22"/>
        </w:rPr>
        <w:t xml:space="preserve">Langlevenrisico kent een individuele, diversifieerbare vorm en een collectieve, niet-diversifieerbare vorm; de prognosetafel probeert vooral die laatste te vangen.</w:t>
      </w:r>
    </w:p>
    <w:p>
      <w:pPr>
        <w:pStyle w:val="ListParagraph"/>
        <w:numPr>
          <w:ilvl w:val="0"/>
          <w:numId w:val="1"/>
        </w:numPr>
        <w:spacing w:after="80"/>
      </w:pPr>
      <w:r>
        <w:rPr>
          <w:rFonts w:ascii="Calibri" w:cs="Calibri" w:eastAsia="Calibri" w:hAnsi="Calibri"/>
          <w:sz w:val="22"/>
          <w:szCs w:val="22"/>
        </w:rPr>
        <w:t xml:space="preserve">Deze aanname werkt door in het projectierendement (deel 13), garantiecontracten (deel 12), invaarwaarderingen (deel 16, 24) en de sleutelfunctie actuariaat (deel 25).</w:t>
      </w:r>
    </w:p>
    <w:p>
      <w:pPr>
        <w:pStyle w:val="ListParagraph"/>
        <w:numPr>
          <w:ilvl w:val="0"/>
          <w:numId w:val="1"/>
        </w:numPr>
        <w:spacing w:after="80"/>
      </w:pPr>
      <w:r>
        <w:rPr>
          <w:rFonts w:ascii="Calibri" w:cs="Calibri" w:eastAsia="Calibri" w:hAnsi="Calibri"/>
          <w:sz w:val="22"/>
          <w:szCs w:val="22"/>
        </w:rPr>
        <w:t xml:space="preserve">Solvabiliteitseisen (Solvency II) verplichten een verzekeraar kapitaal aan te houden dat meebeweegt met de actuele levensverwachtingsprognose.</w:t>
      </w:r>
    </w:p>
    <w:p>
      <w:pPr>
        <w:pStyle w:val="ListParagraph"/>
        <w:numPr>
          <w:ilvl w:val="0"/>
          <w:numId w:val="1"/>
        </w:numPr>
        <w:spacing w:after="80"/>
      </w:pPr>
      <w:r>
        <w:rPr>
          <w:rFonts w:ascii="Calibri" w:cs="Calibri" w:eastAsia="Calibri" w:hAnsi="Calibri"/>
          <w:sz w:val="22"/>
          <w:szCs w:val="22"/>
        </w:rPr>
        <w:t xml:space="preserve">Twee offertes kunnen, afhankelijk van het moment van doorrekening, op verschillende tafelversies zijn gebaseerd — een detail dat in een grondige vergelijking thuishoort.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29.</w:t>
      </w:r>
      <w:r>
        <w:rPr>
          <w:rFonts w:ascii="Calibri" w:cs="Calibri" w:eastAsia="Calibri" w:hAnsi="Calibri"/>
          <w:b w:val="false"/>
          <w:bCs w:val="false"/>
          <w:i w:val="false"/>
          <w:iCs w:val="false"/>
          <w:sz w:val="22"/>
          <w:szCs w:val="22"/>
        </w:rPr>
        <w:t xml:space="preserve"> De vier voorgaande delen van niveau 3 hebben elk een eigen thema diepgaand behandeld. Deel 29 test die kennis niet in de diepte maar in de breedte: een casuïstiek-marathon met kortere, snel opeenvolgende scenario’s die door de hele cursus heen springen.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2026-08-17T11:22:46.188Z</dcterms:created>
  <dcterms:modified xsi:type="dcterms:W3CDTF">2026-08-17T11:22:46.188Z</dcterms:modified>
</cp:coreProperties>
</file>

<file path=docProps/custom.xml><?xml version="1.0" encoding="utf-8"?>
<Properties xmlns="http://schemas.openxmlformats.org/officeDocument/2006/custom-properties" xmlns:vt="http://schemas.openxmlformats.org/officeDocument/2006/docPropsVTypes"/>
</file>