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Werkboek — Deel 28 — Werkboek</w:t>
      </w:r>
    </w:p>
    <w:p>
      <w:pPr>
        <w:spacing w:after="300"/>
      </w:pPr>
      <w:r>
        <w:rPr>
          <w:rFonts w:ascii="Calibri" w:cs="Calibri" w:eastAsia="Calibri" w:hAnsi="Calibri"/>
          <w:i/>
          <w:iCs/>
          <w:color w:val="2563A8"/>
          <w:sz w:val="22"/>
          <w:szCs w:val="22"/>
        </w:rPr>
        <w:t xml:space="preserve">Niveau 3 — Expert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28 — Werkboek</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3 · Expert · Opdrachten met uitwerkingen</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Opdracht 28.1 — Waarom een prognose, geen vaste tafel</w:t>
      </w:r>
    </w:p>
    <w:p>
      <w:pPr>
        <w:spacing w:after="140" w:line="300"/>
      </w:pPr>
      <w:r>
        <w:rPr>
          <w:rFonts w:ascii="Calibri" w:cs="Calibri" w:eastAsia="Calibri" w:hAnsi="Calibri"/>
          <w:b w:val="false"/>
          <w:bCs w:val="false"/>
          <w:i w:val="false"/>
          <w:iCs w:val="false"/>
          <w:sz w:val="22"/>
          <w:szCs w:val="22"/>
        </w:rPr>
        <w:t xml:space="preserve">Leg in eigen woorden uit waarom een prognosetafel een doorgetrokken toekomstverwachting bevat in plaats van alleen historische sterftecijfers.</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Levensverwachting stijgt structureel over de tijd. Een tafel die alleen het verleden weerspiegelt, zou de toekomstige levensverwachting onderschatten, met als gevolg een te lage prijsstelling voor levenslange uitkeringen (garanties raken onderprijsd) en een reëel risico dat pensioenvermogen bij een variabele uitkering te snel opraakt. De prognose corrigeert hiervoor door een verwachte verdere ontwikkeling in te rekenen.</w:t>
            </w:r>
          </w:p>
        </w:tc>
      </w:tr>
    </w:tbl>
    <w:p>
      <w:pPr>
        <w:spacing w:after="100"/>
      </w:pPr>
    </w:p>
    <w:p>
      <w:pPr>
        <w:pStyle w:val="Heading2"/>
        <w:spacing w:after="120" w:before="200"/>
      </w:pPr>
      <w:r>
        <w:rPr>
          <w:rFonts w:ascii="Georgia" w:cs="Georgia" w:eastAsia="Georgia" w:hAnsi="Georgia"/>
          <w:b/>
          <w:bCs/>
          <w:color w:val="2563A8"/>
          <w:sz w:val="28"/>
          <w:szCs w:val="28"/>
        </w:rPr>
        <w:t xml:space="preserve">Opdracht 28.2 — AG2024 samenvatten</w:t>
      </w:r>
    </w:p>
    <w:p>
      <w:pPr>
        <w:spacing w:after="140" w:line="300"/>
      </w:pPr>
      <w:r>
        <w:rPr>
          <w:rFonts w:ascii="Calibri" w:cs="Calibri" w:eastAsia="Calibri" w:hAnsi="Calibri"/>
          <w:b w:val="false"/>
          <w:bCs w:val="false"/>
          <w:i w:val="false"/>
          <w:iCs w:val="false"/>
          <w:sz w:val="22"/>
          <w:szCs w:val="22"/>
        </w:rPr>
        <w:t xml:space="preserve">Vat in drie zinnen samen wat er in AG2024 verandert ten opzichte van AG2022, zonder de reader erbij te pakken.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De oversterfte sinds corona neemt jaarlijks nog maar met 25% af in plaats van de eerder aangenomen 50%, omdat de sterftedata van 2022 en 2023 een langzamer herstel laten zien dan verwacht. Het effect is groter bij vrouwen dan bij mannen, omdat de oversterfte bij vrouwen minder is afgenomen. Het uitgangspunt blijft dat de oversterfte uiteindelijk uitdooft — alleen trager dan eerder gedacht.</w:t>
            </w:r>
          </w:p>
        </w:tc>
      </w:tr>
    </w:tbl>
    <w:p>
      <w:pPr>
        <w:spacing w:after="100"/>
      </w:pPr>
    </w:p>
    <w:p>
      <w:pPr>
        <w:pStyle w:val="Heading2"/>
        <w:spacing w:after="120" w:before="200"/>
      </w:pPr>
      <w:r>
        <w:rPr>
          <w:rFonts w:ascii="Georgia" w:cs="Georgia" w:eastAsia="Georgia" w:hAnsi="Georgia"/>
          <w:b/>
          <w:bCs/>
          <w:color w:val="2563A8"/>
          <w:sz w:val="28"/>
          <w:szCs w:val="28"/>
        </w:rPr>
        <w:t xml:space="preserve">Opdracht 28.3 — Individueel versus collectief langlevenrisico</w:t>
      </w:r>
    </w:p>
    <w:p>
      <w:pPr>
        <w:spacing w:after="140" w:line="300"/>
      </w:pPr>
      <w:r>
        <w:rPr>
          <w:rFonts w:ascii="Calibri" w:cs="Calibri" w:eastAsia="Calibri" w:hAnsi="Calibri"/>
          <w:b w:val="false"/>
          <w:bCs w:val="false"/>
          <w:i w:val="false"/>
          <w:iCs w:val="false"/>
          <w:sz w:val="22"/>
          <w:szCs w:val="22"/>
        </w:rPr>
        <w:t xml:space="preserve">Voor elke situatie: is dit primair individueel of collectief langlevenrisico?</w:t>
      </w:r>
    </w:p>
    <w:p>
      <w:pPr>
        <w:spacing w:after="140" w:line="300"/>
      </w:pPr>
      <w:r>
        <w:rPr>
          <w:rFonts w:ascii="Calibri" w:cs="Calibri" w:eastAsia="Calibri" w:hAnsi="Calibri"/>
          <w:b w:val="false"/>
          <w:bCs w:val="false"/>
          <w:i w:val="false"/>
          <w:iCs w:val="false"/>
          <w:sz w:val="22"/>
          <w:szCs w:val="22"/>
        </w:rPr>
        <w:t xml:space="preserve">a. Eén gepensioneerde blijkt 105 jaar te worden, veel ouder dan de gemiddelde prognose.</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Een hele generatie blijkt, dankzij een onvoorziene medische doorbraak, gemiddeld vijf jaar langer te leven dan enige prognosetafel ooit voorzag.</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Binnen een groot verzekerdenbestand leven sommigen korter en anderen langer dan gemiddeld, maar het gemiddelde komt uit zoals verwacht.</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a: individueel — een uitschieter binnen een groot bestand, diversifieerbaar. b: collectief — de hele prognose blijkt structureel te laag, treft alle polishouders tegelijk. c: dit is precies de situatie waarin individueel langlevenrisico goed werkt binnen een collectief: de uitschieters heffen elkaar op.</w:t>
            </w:r>
          </w:p>
        </w:tc>
      </w:tr>
    </w:tbl>
    <w:p>
      <w:pPr>
        <w:spacing w:after="100"/>
      </w:pPr>
    </w:p>
    <w:p>
      <w:pPr>
        <w:pStyle w:val="Heading2"/>
        <w:spacing w:after="120" w:before="200"/>
      </w:pPr>
      <w:r>
        <w:rPr>
          <w:rFonts w:ascii="Georgia" w:cs="Georgia" w:eastAsia="Georgia" w:hAnsi="Georgia"/>
          <w:b/>
          <w:bCs/>
          <w:color w:val="2563A8"/>
          <w:sz w:val="28"/>
          <w:szCs w:val="28"/>
        </w:rPr>
        <w:t xml:space="preserve">Opdracht 28.4 — De koppeling met deel 12 en 13</w:t>
      </w:r>
    </w:p>
    <w:p>
      <w:pPr>
        <w:spacing w:after="140" w:line="300"/>
      </w:pPr>
      <w:r>
        <w:rPr>
          <w:rFonts w:ascii="Calibri" w:cs="Calibri" w:eastAsia="Calibri" w:hAnsi="Calibri"/>
          <w:b w:val="false"/>
          <w:bCs w:val="false"/>
          <w:i w:val="false"/>
          <w:iCs w:val="false"/>
          <w:sz w:val="22"/>
          <w:szCs w:val="22"/>
        </w:rPr>
        <w:t xml:space="preserve">Leg uit waarom een verzekeraar die een garantiecontract (deel 12) aanbiedt, gevoeliger is voor een bijstelling zoals AG2024 dan een verzekeraar die uitsluitend niet-gegarandeerde, variabele producten (deel 13) aanbiedt.</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Bij een garantiecontract draagt de verzekeraar zelf het langlevenrisico: zij moet de gegarandeerde uitkering betalen, ongeacht hoe lang de polishouder daadwerkelijk leeft, en moet daarvoor kapitaal aanhouden (Solvency II, deel 12). Een hogere geprognosticeerde levensverwachting betekent een grotere verplichting en dus meer benodigd kapitaal. Bij een niet-gegarandeerd, variabel product (deel 13) ligt het langlevenrisico grotendeels bij de deelnemer zelf — een bijstelling van de prognose raakt dan vooral de hoogte van de uitkering die de deelnemer ontvangt, niet de kapitaalpositie van de verzekeraar.</w:t>
            </w:r>
          </w:p>
        </w:tc>
      </w:tr>
    </w:tbl>
    <w:p>
      <w:pPr>
        <w:spacing w:after="100"/>
      </w:pPr>
    </w:p>
    <w:p>
      <w:pPr>
        <w:pStyle w:val="Heading2"/>
        <w:spacing w:after="120" w:before="200"/>
      </w:pPr>
      <w:r>
        <w:rPr>
          <w:rFonts w:ascii="Georgia" w:cs="Georgia" w:eastAsia="Georgia" w:hAnsi="Georgia"/>
          <w:b/>
          <w:bCs/>
          <w:color w:val="2563A8"/>
          <w:sz w:val="28"/>
          <w:szCs w:val="28"/>
        </w:rPr>
        <w:t xml:space="preserve">Opdracht 28.5 — Sleutelfunctie actuariaat in actie</w:t>
      </w:r>
    </w:p>
    <w:p>
      <w:pPr>
        <w:spacing w:after="140" w:line="300"/>
      </w:pPr>
      <w:r>
        <w:rPr>
          <w:rFonts w:ascii="Calibri" w:cs="Calibri" w:eastAsia="Calibri" w:hAnsi="Calibri"/>
          <w:b w:val="false"/>
          <w:bCs w:val="false"/>
          <w:i w:val="false"/>
          <w:iCs w:val="false"/>
          <w:sz w:val="22"/>
          <w:szCs w:val="22"/>
        </w:rPr>
        <w:t xml:space="preserve">Beschrijf, teruggrijpend op deel 25, wat de sleutelfunctie actuariaat concreet zou moeten doen op het moment dat een nieuwe prognosetafel wordt gepubliceerd.</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De sleutelfunctie actuariaat moet: (1) beoordelen wat de impact van de nieuwe tafel is op de bestaande voorzieningen en verplichtingen, (2) deze impact rapporteren aan het bestuur en, waar relevant, aan risicobeheer, (3) beoordelen of lopende productprijsstelling moet worden aangepast, en (4) dit proces en de uitkomst documenteren — precies het soort bestandspecifieke, gedocumenteerde onderbouwing die in deel 24 als doorslaggevend werd geïdentificeerd bij een latere juridische toets.</w:t>
            </w:r>
          </w:p>
        </w:tc>
      </w:tr>
    </w:tbl>
    <w:p>
      <w:pPr>
        <w:spacing w:after="100"/>
      </w:pPr>
    </w:p>
    <w:p>
      <w:pPr>
        <w:pStyle w:val="Heading2"/>
        <w:spacing w:after="120" w:before="200"/>
      </w:pPr>
      <w:r>
        <w:rPr>
          <w:rFonts w:ascii="Georgia" w:cs="Georgia" w:eastAsia="Georgia" w:hAnsi="Georgia"/>
          <w:b/>
          <w:bCs/>
          <w:color w:val="2563A8"/>
          <w:sz w:val="28"/>
          <w:szCs w:val="28"/>
        </w:rPr>
        <w:t xml:space="preserve">Opdracht 28.6 — Solvabiliteit doordenken</w:t>
      </w:r>
    </w:p>
    <w:p>
      <w:pPr>
        <w:spacing w:after="140" w:line="300"/>
      </w:pPr>
      <w:r>
        <w:rPr>
          <w:rFonts w:ascii="Calibri" w:cs="Calibri" w:eastAsia="Calibri" w:hAnsi="Calibri"/>
          <w:b w:val="false"/>
          <w:bCs w:val="false"/>
          <w:i w:val="false"/>
          <w:iCs w:val="false"/>
          <w:sz w:val="22"/>
          <w:szCs w:val="22"/>
        </w:rPr>
        <w:t xml:space="preserve">Een verzekeraar constateert dat de nieuwe prognosetafel een hogere levensverwachting voorspelt dan de tafel waarop haar bestaande garantiecontracten zijn geprijsd.</w:t>
      </w:r>
    </w:p>
    <w:p>
      <w:pPr>
        <w:spacing w:after="140" w:line="300"/>
      </w:pPr>
      <w:r>
        <w:rPr>
          <w:rFonts w:ascii="Calibri" w:cs="Calibri" w:eastAsia="Calibri" w:hAnsi="Calibri"/>
          <w:b w:val="false"/>
          <w:bCs w:val="false"/>
          <w:i w:val="false"/>
          <w:iCs w:val="false"/>
          <w:sz w:val="22"/>
          <w:szCs w:val="22"/>
        </w:rPr>
        <w:t xml:space="preserve">a. Wat gebeurt er met de benodigde voorziening voor die contracten?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Wat zijn de opties voor de verzekeraar?</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De benodigde voorziening stijgt — de verzekeraar moet meer kapitaal aanhouden om dezelfde garanties, nu tegen een hogere verwachte uitkeringsduur, te kunnen blijven waarmaken.</w:t>
      </w:r>
    </w:p>
    <w:p>
      <w:pPr>
        <w:spacing w:after="140" w:line="300"/>
      </w:pPr>
      <w:r>
        <w:rPr>
          <w:rFonts w:ascii="Calibri" w:cs="Calibri" w:eastAsia="Calibri" w:hAnsi="Calibri"/>
          <w:b w:val="false"/>
          <w:bCs w:val="false"/>
          <w:i w:val="false"/>
          <w:iCs w:val="false"/>
          <w:sz w:val="22"/>
          <w:szCs w:val="22"/>
        </w:rPr>
        <w:t xml:space="preserve">b. Extra kapitaal aantrekken of reserveren, de prijsstelling van nieuwe contracten aanpassen (zonder de bestaande garanties te kunnen wijzigen — die liggen contractueel vast, deel 2), of, op langere termijn, het productaanbod herzien richting minder kapitaalintensieve, niet-gegarandeerde varianten (deel 13).</w:t>
      </w:r>
    </w:p>
    <w:p>
      <w:pPr>
        <w:spacing w:after="100"/>
      </w:pPr>
    </w:p>
    <w:p>
      <w:pPr>
        <w:pStyle w:val="Heading2"/>
        <w:spacing w:after="120" w:before="200"/>
      </w:pPr>
      <w:r>
        <w:rPr>
          <w:rFonts w:ascii="Georgia" w:cs="Georgia" w:eastAsia="Georgia" w:hAnsi="Georgia"/>
          <w:b/>
          <w:bCs/>
          <w:color w:val="2563A8"/>
          <w:sz w:val="28"/>
          <w:szCs w:val="28"/>
        </w:rPr>
        <w:t xml:space="preserve">Opdracht 28.7 — Twee offertes, twee tafels</w:t>
      </w:r>
    </w:p>
    <w:p>
      <w:pPr>
        <w:spacing w:after="140" w:line="300"/>
      </w:pPr>
      <w:r>
        <w:rPr>
          <w:rFonts w:ascii="Calibri" w:cs="Calibri" w:eastAsia="Calibri" w:hAnsi="Calibri"/>
          <w:b w:val="false"/>
          <w:bCs w:val="false"/>
          <w:i w:val="false"/>
          <w:iCs w:val="false"/>
          <w:sz w:val="22"/>
          <w:szCs w:val="22"/>
        </w:rPr>
        <w:t xml:space="preserve">Van Doorn ontvangt twee offertes voor een premie-uitkeringsovereenkomst (deel 3), op hetzelfde moment aangevraagd bij twee verschillende verzekeraars. Bij navraag blijkt dat een van beide verzekeraars zijn prijsmodel nog niet heeft bijgewerkt naar de laatste prognosetafel.</w:t>
      </w:r>
    </w:p>
    <w:p>
      <w:pPr>
        <w:spacing w:after="140" w:line="300"/>
      </w:pPr>
      <w:r>
        <w:rPr>
          <w:rFonts w:ascii="Calibri" w:cs="Calibri" w:eastAsia="Calibri" w:hAnsi="Calibri"/>
          <w:b w:val="false"/>
          <w:bCs w:val="false"/>
          <w:i w:val="false"/>
          <w:iCs w:val="false"/>
          <w:sz w:val="22"/>
          <w:szCs w:val="22"/>
        </w:rPr>
        <w:t xml:space="preserve">a. Is dit een reden om die offerte te wantrouwen?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Wat vraag je na?</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Niet automatisch een reden tot wantrouwen, maar wel een punt om te verifiëren — het kan wijzen op een verzekeraar die minder actueel actuarieel beheer voert, wat op termijn relevant kan zijn voor de soliditeit van de garanties die zij aanbiedt.</w:t>
      </w:r>
    </w:p>
    <w:p>
      <w:pPr>
        <w:spacing w:after="140" w:line="300"/>
      </w:pPr>
      <w:r>
        <w:rPr>
          <w:rFonts w:ascii="Calibri" w:cs="Calibri" w:eastAsia="Calibri" w:hAnsi="Calibri"/>
          <w:b w:val="false"/>
          <w:bCs w:val="false"/>
          <w:i w:val="false"/>
          <w:iCs w:val="false"/>
          <w:sz w:val="22"/>
          <w:szCs w:val="22"/>
        </w:rPr>
        <w:t xml:space="preserve">b. Vraag na wanneer de verzekeraar haar prijsmodel voor het laatst heeft bijgewerkt, en of en wanneer de overstap naar de nieuwste tafel gepland staat. Dit hoort, net als de garantieniveau- en kostenvergelijking uit deel 12, thuis in een grondige offertevergelijking — niet als doorslaggevend detail, maar als onderdeel van het volledige beeld.</w:t>
      </w:r>
    </w:p>
    <w:p>
      <w:pPr>
        <w:spacing w:after="100"/>
      </w:pPr>
    </w:p>
    <w:p>
      <w:pPr>
        <w:pStyle w:val="Heading2"/>
        <w:spacing w:after="120" w:before="200"/>
      </w:pPr>
      <w:r>
        <w:rPr>
          <w:rFonts w:ascii="Georgia" w:cs="Georgia" w:eastAsia="Georgia" w:hAnsi="Georgia"/>
          <w:b/>
          <w:bCs/>
          <w:color w:val="2563A8"/>
          <w:sz w:val="28"/>
          <w:szCs w:val="28"/>
        </w:rPr>
        <w:t xml:space="preserve">Opdracht 28.8 — Reflectie op niveau 3 tot nu toe</w:t>
      </w:r>
    </w:p>
    <w:p>
      <w:pPr>
        <w:spacing w:after="140" w:line="300"/>
      </w:pPr>
      <w:r>
        <w:rPr>
          <w:rFonts w:ascii="Calibri" w:cs="Calibri" w:eastAsia="Calibri" w:hAnsi="Calibri"/>
          <w:b w:val="false"/>
          <w:bCs w:val="false"/>
          <w:i w:val="false"/>
          <w:iCs w:val="false"/>
          <w:sz w:val="22"/>
          <w:szCs w:val="22"/>
        </w:rPr>
        <w:t xml:space="preserve">Beschrijf in maximaal zes zinnen hoe dit deel een cijfer dat in eerdere delen (bijvoorbeeld het projectierendement uit deel 13, of de omrekenmethode uit deel 16) als gegeven werd gepresenteerd, nu heeft “geopend” tot een onderliggende aanname met een eigen actualisatiecyclus en eigen risico’s.</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Geen modelantwoord. Een sterk antwoord benoemt expliciet dat het projectierendement of de omrekenmethode niet op zichzelf staan, maar steunen op een levensverwachtingsaanname die zelf periodiek wordt herzien — en dat deze cursus daarmee laat zien dat vrijwel elk “hard” cijfer in de pensioenpraktijk uiteindelijk terug te voeren is op een onderliggende, tijdgebonden aanname die om voortdurende actualisatie vraagt. Dit is een goede illustratie van de rode draad die door de hele cursus loopt: controleer altijd de actuele stand, neem nooit een cijfer voor eeuwig gegeven aan.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3 — Expert · Deel 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2026-08-17T11:22:46.215Z</dcterms:created>
  <dcterms:modified xsi:type="dcterms:W3CDTF">2026-08-17T11:22:46.215Z</dcterms:modified>
</cp:coreProperties>
</file>

<file path=docProps/custom.xml><?xml version="1.0" encoding="utf-8"?>
<Properties xmlns="http://schemas.openxmlformats.org/officeDocument/2006/custom-properties" xmlns:vt="http://schemas.openxmlformats.org/officeDocument/2006/docPropsVTypes"/>
</file>