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29 — Docentenhandleiding</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29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Geen nieuwe stof — snelheid en breedte. Twee dingen moeten landen:</w:t>
      </w:r>
    </w:p>
    <w:p>
      <w:pPr>
        <w:pStyle w:val="ListParagraph"/>
        <w:numPr>
          <w:ilvl w:val="0"/>
          <w:numId w:val="1"/>
        </w:numPr>
        <w:spacing w:after="80"/>
      </w:pPr>
      <w:r>
        <w:rPr>
          <w:rFonts w:ascii="Calibri" w:cs="Calibri" w:eastAsia="Calibri" w:hAnsi="Calibri"/>
          <w:sz w:val="22"/>
          <w:szCs w:val="22"/>
        </w:rPr>
        <w:t xml:space="preserve">1. Elke cliëntvraag, hoe complex ook, is bijna altijd te herleiden tot één instrument uit deze cursus. De vaardigheid is herkennen, niet meer regels leren.</w:t>
      </w:r>
    </w:p>
    <w:p>
      <w:pPr>
        <w:pStyle w:val="ListParagraph"/>
        <w:numPr>
          <w:ilvl w:val="0"/>
          <w:numId w:val="1"/>
        </w:numPr>
        <w:spacing w:after="80"/>
      </w:pPr>
      <w:r>
        <w:rPr>
          <w:rFonts w:ascii="Calibri" w:cs="Calibri" w:eastAsia="Calibri" w:hAnsi="Calibri"/>
          <w:sz w:val="22"/>
          <w:szCs w:val="22"/>
        </w:rPr>
        <w:t xml:space="preserve">2. Prioriteren onder tijdsdruk is zelf een vaardigheid, met eerlijkheid over wat niet in tien minuten kan worden afgehandeld als kernonderdeel.</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Waarom een marathon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vijfstappenroutine geïntroduceerd aan de hand van casus 1-3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docent modelleert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Casus 4-12 gezamenlijk, snel tempo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korte beurten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Ronde 1: zes nieuwe casussen individueel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20 minuten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Ronde 2: registerwisseling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Ronde 3: prioriteren onder tijdsdruk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dan plenaire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Zelfreflectie, vooruitblik op de masterproef</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Zeg expliciet: dit dagdeel test, het onderwijst niet. Dat verandert de werkvorm — minder uitleg, meer snel, hardop redeneren met tijdsdruk.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vijfstappenroutine modelleren.</w:t>
      </w:r>
      <w:r>
        <w:rPr>
          <w:rFonts w:ascii="Calibri" w:cs="Calibri" w:eastAsia="Calibri" w:hAnsi="Calibri"/>
          <w:b w:val="false"/>
          <w:bCs w:val="false"/>
          <w:i w:val="false"/>
          <w:iCs w:val="false"/>
          <w:sz w:val="22"/>
          <w:szCs w:val="22"/>
        </w:rPr>
        <w:t xml:space="preserve"> Doe casus 1 tot en met 3 uit de reader zelf hardop voor, met een stopwatch zichtbaar — laat zien dat drie minuten per casus haalbaar is als je de routine volgt. Dit zet de toon en het tempo voor de rest van het dagdeel.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4-12 gezamenlijk.</w:t>
      </w:r>
      <w:r>
        <w:rPr>
          <w:rFonts w:ascii="Calibri" w:cs="Calibri" w:eastAsia="Calibri" w:hAnsi="Calibri"/>
          <w:b w:val="false"/>
          <w:bCs w:val="false"/>
          <w:i w:val="false"/>
          <w:iCs w:val="false"/>
          <w:sz w:val="22"/>
          <w:szCs w:val="22"/>
        </w:rPr>
        <w:t xml:space="preserve"> Werk in een hoog tempo door de zaal: wijs willekeurig deelnemers aan om binnen dertig seconden het kernprobleem te benoemen, dan een andere deelnemer voor het instrument, dan een derde voor het korte antwoord. Dit voorkomt dat één persoon een hele casus monopoliseert en houdt iedereen scherp.</w:t>
      </w:r>
    </w:p>
    <w:p>
      <w:pPr>
        <w:spacing w:after="140" w:line="300"/>
      </w:pPr>
      <w:r>
        <w:rPr>
          <w:rFonts w:ascii="Calibri" w:cs="Calibri" w:eastAsia="Calibri" w:hAnsi="Calibri"/>
          <w:b w:val="false"/>
          <w:bCs w:val="false"/>
          <w:i w:val="false"/>
          <w:iCs w:val="false"/>
          <w:sz w:val="22"/>
          <w:szCs w:val="22"/>
        </w:rPr>
        <w:t xml:space="preserve">Let op het patroon-inzicht uit paragraaf 29.5: benoem na casus 12 expliciet dat elke casus terug te voeren was op één of twee eerdere delen — dat is de kernboodschap van het hele dagdeel.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Ronde 1.</w:t>
      </w:r>
      <w:r>
        <w:rPr>
          <w:rFonts w:ascii="Calibri" w:cs="Calibri" w:eastAsia="Calibri" w:hAnsi="Calibri"/>
          <w:b w:val="false"/>
          <w:bCs w:val="false"/>
          <w:i w:val="false"/>
          <w:iCs w:val="false"/>
          <w:sz w:val="22"/>
          <w:szCs w:val="22"/>
        </w:rPr>
        <w:t xml:space="preserve"> Laat dit echt individueel en zonder hulpmiddelen maken, met een zichtbare klok. Loop rond en signaleer welke casussen het meest worden overgeslagen of het langst duren — dat is waardevolle informatie voor de nabespreking én voor de deelnemers zelf.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Ronde 2 — registerwisseling.</w:t>
      </w:r>
      <w:r>
        <w:rPr>
          <w:rFonts w:ascii="Calibri" w:cs="Calibri" w:eastAsia="Calibri" w:hAnsi="Calibri"/>
          <w:b w:val="false"/>
          <w:bCs w:val="false"/>
          <w:i w:val="false"/>
          <w:iCs w:val="false"/>
          <w:sz w:val="22"/>
          <w:szCs w:val="22"/>
        </w:rPr>
        <w:t xml:space="preserve"> Dit herhaalt een vaardigheid uit de capstones van deel 10 en 21, nu in mondelinge, snelle vorm. Loop rond tijdens de tweetallen en luister naar minstens een paar duo’s — het meest voorkomende risico is dat de “deelnemer-versie” geruststellender wordt dan de feiten toestaan. Grijp daar direct op in als je het hoort.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Ronde 3 — prioriteren.</w:t>
      </w:r>
      <w:r>
        <w:rPr>
          <w:rFonts w:ascii="Calibri" w:cs="Calibri" w:eastAsia="Calibri" w:hAnsi="Calibri"/>
          <w:b w:val="false"/>
          <w:bCs w:val="false"/>
          <w:i w:val="false"/>
          <w:iCs w:val="false"/>
          <w:sz w:val="22"/>
          <w:szCs w:val="22"/>
        </w:rPr>
        <w:t xml:space="preserve"> Dit is het meest realistische onderdeel van het dagdeel en verdient een grondige plenaire bespreking na afloop. Laat verschillende deelnemers hun prioritering en motivatie voorlezen — verschil van inzicht over de precieze volgorde is prima, zolang de motivatie steekhoudend is. Wat níet door de beugel kan: alle drie de vragen half beantwoorden om tijd te besparen, in plaats van bewust te kiezen en eerlijk te zijn over wat meer tijd vergt.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Zelfreflectie.</w:t>
      </w:r>
      <w:r>
        <w:rPr>
          <w:rFonts w:ascii="Calibri" w:cs="Calibri" w:eastAsia="Calibri" w:hAnsi="Calibri"/>
          <w:b w:val="false"/>
          <w:bCs w:val="false"/>
          <w:i w:val="false"/>
          <w:iCs w:val="false"/>
          <w:sz w:val="22"/>
          <w:szCs w:val="22"/>
        </w:rPr>
        <w:t xml:space="preserve"> Sluit rustig af. Dit is het directe voorbereidingsmoment voor de masterproef — geef er ruimte voor.</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als ik het instrument niet meteen herken?”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Dat gebeurt, en het is precies waarom dit oefening is en geen examen. Val terug op de meest basale vraag: is dit een fondsen- of een verzekerde kwestie, en gaat het over opbouw of over bestaande aanspraken? Die twee vragen alleen al brengen je vaak al een heel eind.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“Moet ik voor elke casus het volledige antwoord kunnen geven?”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Nee — het doel is het kernprobleem correct te diagnosticeren en te weten welk instrument je gaat gebruiken, plus te benoemen wat je nog moet natrekken. Een compleet, uitgewerkt advies is het werk van uren, niet van drie minuten.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snelheid niet gevaarlijk in dit vak?”</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Snelheid in de diagnose is iets anders dan snelheid in het definitieve advies. Dit dagdeel oefent het eerste — het razendsnel herkennen van het juiste kader — niet het overslaan van zorgvuldigheid in het uiteindelijke, uitgewerkte advies.</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Een zichtbare klok of stopwatch voor de gezamenlijke casussen</w:t>
      </w:r>
    </w:p>
    <w:p>
      <w:pPr>
        <w:pStyle w:val="ListParagraph"/>
        <w:numPr>
          <w:ilvl w:val="0"/>
          <w:numId w:val="1"/>
        </w:numPr>
        <w:spacing w:after="80"/>
      </w:pPr>
      <w:r>
        <w:rPr>
          <w:rFonts w:ascii="Calibri" w:cs="Calibri" w:eastAsia="Calibri" w:hAnsi="Calibri"/>
          <w:sz w:val="22"/>
          <w:szCs w:val="22"/>
        </w:rPr>
        <w:t xml:space="preserve">Alle cursusflappen van niveau 1-3 nog beschikbaar als naslag (niet om tijdens de oefening te raadplegen, maar voor de nabespreking)</w:t>
      </w:r>
    </w:p>
    <w:p>
      <w:pPr>
        <w:pStyle w:val="ListParagraph"/>
        <w:numPr>
          <w:ilvl w:val="0"/>
          <w:numId w:val="1"/>
        </w:numPr>
        <w:spacing w:after="80"/>
      </w:pPr>
      <w:r>
        <w:rPr>
          <w:rFonts w:ascii="Calibri" w:cs="Calibri" w:eastAsia="Calibri" w:hAnsi="Calibri"/>
          <w:sz w:val="22"/>
          <w:szCs w:val="22"/>
        </w:rPr>
        <w:t xml:space="preserve">Kopieën van Ronde 3 apart uitgedeeld, pas na afronding van Ronde 1 en 2</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de zelfreflectie afronden. Kondig deel 30 aan: de masterproef, twee dagdelen, met een compleet, onvoorzien dossier bij Van Doorn Techniek dat alles uit deze cursus samenbrengt.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2026-08-17T11:22:46.369Z</dcterms:created>
  <dcterms:modified xsi:type="dcterms:W3CDTF">2026-08-17T11:22:46.369Z</dcterms:modified>
</cp:coreProperties>
</file>

<file path=docProps/custom.xml><?xml version="1.0" encoding="utf-8"?>
<Properties xmlns="http://schemas.openxmlformats.org/officeDocument/2006/custom-properties" xmlns:vt="http://schemas.openxmlformats.org/officeDocument/2006/docPropsVTypes"/>
</file>