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29 — Casuïstiek-marathon</w:t>
      </w:r>
    </w:p>
    <w:p>
      <w:pPr>
        <w:spacing w:after="300"/>
      </w:pPr>
      <w:r>
        <w:rPr>
          <w:rFonts w:ascii="Calibri" w:cs="Calibri" w:eastAsia="Calibri" w:hAnsi="Calibri"/>
          <w:i/>
          <w:iCs/>
          <w:color w:val="2563A8"/>
          <w:sz w:val="22"/>
          <w:szCs w:val="22"/>
        </w:rPr>
        <w:t xml:space="preserve">Niveau 3 — Expert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29 — Casuïstiek-marathon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3 · Expert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29.1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binnen enkele minuten een onbekend pensioendossier correct diagnosticeren met de instrumenten uit de hele cursus;</w:t>
      </w:r>
    </w:p>
    <w:p>
      <w:pPr>
        <w:pStyle w:val="ListParagraph"/>
        <w:numPr>
          <w:ilvl w:val="0"/>
          <w:numId w:val="1"/>
        </w:numPr>
        <w:spacing w:after="80"/>
      </w:pPr>
      <w:r>
        <w:rPr>
          <w:rFonts w:ascii="Calibri" w:cs="Calibri" w:eastAsia="Calibri" w:hAnsi="Calibri"/>
          <w:sz w:val="22"/>
          <w:szCs w:val="22"/>
        </w:rPr>
        <w:t xml:space="preserve">2. razendsnel schakelen tussen fondsen- en verzekerde vraagstukken, tussen niveau 1-, 2- en 3-stof;</w:t>
      </w:r>
    </w:p>
    <w:p>
      <w:pPr>
        <w:pStyle w:val="ListParagraph"/>
        <w:numPr>
          <w:ilvl w:val="0"/>
          <w:numId w:val="1"/>
        </w:numPr>
        <w:spacing w:after="80"/>
      </w:pPr>
      <w:r>
        <w:rPr>
          <w:rFonts w:ascii="Calibri" w:cs="Calibri" w:eastAsia="Calibri" w:hAnsi="Calibri"/>
          <w:sz w:val="22"/>
          <w:szCs w:val="22"/>
        </w:rPr>
        <w:t xml:space="preserve">3. je antwoord aanpassen aan het register van de vragende partij zonder het onderliggende feitenverhaal te laten verschuiven;</w:t>
      </w:r>
    </w:p>
    <w:p>
      <w:pPr>
        <w:pStyle w:val="ListParagraph"/>
        <w:numPr>
          <w:ilvl w:val="0"/>
          <w:numId w:val="1"/>
        </w:numPr>
        <w:spacing w:after="80"/>
      </w:pPr>
      <w:r>
        <w:rPr>
          <w:rFonts w:ascii="Calibri" w:cs="Calibri" w:eastAsia="Calibri" w:hAnsi="Calibri"/>
          <w:sz w:val="22"/>
          <w:szCs w:val="22"/>
        </w:rPr>
        <w:t xml:space="preserve">4. onder tijdsdruk prioriteren welke van meerdere gelijktijdige problemen in een casus het eerst moet worden geadresseerd;</w:t>
      </w:r>
    </w:p>
    <w:p>
      <w:pPr>
        <w:pStyle w:val="ListParagraph"/>
        <w:numPr>
          <w:ilvl w:val="0"/>
          <w:numId w:val="1"/>
        </w:numPr>
        <w:spacing w:after="80"/>
      </w:pPr>
      <w:r>
        <w:rPr>
          <w:rFonts w:ascii="Calibri" w:cs="Calibri" w:eastAsia="Calibri" w:hAnsi="Calibri"/>
          <w:sz w:val="22"/>
          <w:szCs w:val="22"/>
        </w:rPr>
        <w:t xml:space="preserve">5. je eigen kennishiaten identificeren vóór de masterproef van deel 30.</w:t>
      </w:r>
    </w:p>
    <w:p>
      <w:pPr>
        <w:spacing w:after="100"/>
      </w:pPr>
    </w:p>
    <w:p>
      <w:pPr>
        <w:pStyle w:val="Heading2"/>
        <w:spacing w:after="120" w:before="200"/>
      </w:pPr>
      <w:r>
        <w:rPr>
          <w:rFonts w:ascii="Georgia" w:cs="Georgia" w:eastAsia="Georgia" w:hAnsi="Georgia"/>
          <w:b/>
          <w:bCs/>
          <w:color w:val="2563A8"/>
          <w:sz w:val="28"/>
          <w:szCs w:val="28"/>
        </w:rPr>
        <w:t xml:space="preserve">29.2 Waarom een marathon, en geen nieuw onderwerp</w:t>
      </w:r>
    </w:p>
    <w:p>
      <w:pPr>
        <w:spacing w:after="140" w:line="300"/>
      </w:pPr>
      <w:r>
        <w:rPr>
          <w:rFonts w:ascii="Calibri" w:cs="Calibri" w:eastAsia="Calibri" w:hAnsi="Calibri"/>
          <w:b w:val="false"/>
          <w:bCs w:val="false"/>
          <w:i w:val="false"/>
          <w:iCs w:val="false"/>
          <w:sz w:val="22"/>
          <w:szCs w:val="22"/>
        </w:rPr>
        <w:t xml:space="preserve">Dit deel introduceert geen nieuwe stof. Het test, in snel tempo, alles wat de vorige achtentwintig delen hebben opgebouwd. Waar deel 22 tot en met 28 elk een thema in de diepte behandelden, gaat het hier om </w:t>
      </w:r>
      <w:r>
        <w:rPr>
          <w:rFonts w:ascii="Calibri" w:cs="Calibri" w:eastAsia="Calibri" w:hAnsi="Calibri"/>
          <w:b/>
          <w:bCs/>
          <w:i w:val="false"/>
          <w:iCs w:val="false"/>
          <w:sz w:val="22"/>
          <w:szCs w:val="22"/>
        </w:rPr>
        <w:t xml:space="preserve">breedte en snelheid</w:t>
      </w:r>
      <w:r>
        <w:rPr>
          <w:rFonts w:ascii="Calibri" w:cs="Calibri" w:eastAsia="Calibri" w:hAnsi="Calibri"/>
          <w:b w:val="false"/>
          <w:bCs w:val="false"/>
          <w:i w:val="false"/>
          <w:iCs w:val="false"/>
          <w:sz w:val="22"/>
          <w:szCs w:val="22"/>
        </w:rPr>
        <w:t xml:space="preserve">: kun je, geconfronteerd met een casus die niet vooraf is aangekondigd, binnen enkele minuten het juiste instrument uit je gereedschapskist pakken?</w:t>
      </w:r>
    </w:p>
    <w:p>
      <w:pPr>
        <w:spacing w:after="140" w:line="300"/>
      </w:pPr>
      <w:r>
        <w:rPr>
          <w:rFonts w:ascii="Calibri" w:cs="Calibri" w:eastAsia="Calibri" w:hAnsi="Calibri"/>
          <w:b w:val="false"/>
          <w:bCs w:val="false"/>
          <w:i w:val="false"/>
          <w:iCs w:val="false"/>
          <w:sz w:val="22"/>
          <w:szCs w:val="22"/>
        </w:rPr>
        <w:t xml:space="preserve">Dit is een realistische afspiegeling van de praktijk. Een cliënt belt zelden met de mededeling “ik heb een vraag over de vierde toets van de scheidslijnkaart.” Hij vertelt een verhaal, en de vaardigheid zit in het razendsnel herkennen welk deel van deze cursus van toepassing is.</w:t>
      </w:r>
    </w:p>
    <w:p>
      <w:pPr>
        <w:spacing w:after="100"/>
      </w:pPr>
    </w:p>
    <w:p>
      <w:pPr>
        <w:pStyle w:val="Heading2"/>
        <w:spacing w:after="120" w:before="200"/>
      </w:pPr>
      <w:r>
        <w:rPr>
          <w:rFonts w:ascii="Georgia" w:cs="Georgia" w:eastAsia="Georgia" w:hAnsi="Georgia"/>
          <w:b/>
          <w:bCs/>
          <w:color w:val="2563A8"/>
          <w:sz w:val="28"/>
          <w:szCs w:val="28"/>
        </w:rPr>
        <w:t xml:space="preserve">29.3 Werkwijze</w:t>
      </w:r>
    </w:p>
    <w:p>
      <w:pPr>
        <w:spacing w:after="140" w:line="300"/>
      </w:pPr>
      <w:r>
        <w:rPr>
          <w:rFonts w:ascii="Calibri" w:cs="Calibri" w:eastAsia="Calibri" w:hAnsi="Calibri"/>
          <w:b w:val="false"/>
          <w:bCs w:val="false"/>
          <w:i w:val="false"/>
          <w:iCs w:val="false"/>
          <w:sz w:val="22"/>
          <w:szCs w:val="22"/>
        </w:rPr>
        <w:t xml:space="preserve">Elke casus in dit deel volgt hetzelfde stramien:</w:t>
      </w:r>
    </w:p>
    <w:p>
      <w:pPr>
        <w:pStyle w:val="ListParagraph"/>
        <w:numPr>
          <w:ilvl w:val="0"/>
          <w:numId w:val="1"/>
        </w:numPr>
        <w:spacing w:after="80"/>
      </w:pPr>
      <w:r>
        <w:rPr>
          <w:rFonts w:ascii="Calibri" w:cs="Calibri" w:eastAsia="Calibri" w:hAnsi="Calibri"/>
          <w:sz w:val="22"/>
          <w:szCs w:val="22"/>
        </w:rPr>
        <w:t xml:space="preserve">1. Lees de casus eenmaal, snel.</w:t>
      </w:r>
    </w:p>
    <w:p>
      <w:pPr>
        <w:pStyle w:val="ListParagraph"/>
        <w:numPr>
          <w:ilvl w:val="0"/>
          <w:numId w:val="1"/>
        </w:numPr>
        <w:spacing w:after="80"/>
      </w:pPr>
      <w:r>
        <w:rPr>
          <w:rFonts w:ascii="Calibri" w:cs="Calibri" w:eastAsia="Calibri" w:hAnsi="Calibri"/>
          <w:sz w:val="22"/>
          <w:szCs w:val="22"/>
        </w:rPr>
        <w:t xml:space="preserve">2. Benoem in één zin het kernprobleem — niet de details, het kernprobleem.</w:t>
      </w:r>
    </w:p>
    <w:p>
      <w:pPr>
        <w:pStyle w:val="ListParagraph"/>
        <w:numPr>
          <w:ilvl w:val="0"/>
          <w:numId w:val="1"/>
        </w:numPr>
        <w:spacing w:after="80"/>
      </w:pPr>
      <w:r>
        <w:rPr>
          <w:rFonts w:ascii="Calibri" w:cs="Calibri" w:eastAsia="Calibri" w:hAnsi="Calibri"/>
          <w:sz w:val="22"/>
          <w:szCs w:val="22"/>
        </w:rPr>
        <w:t xml:space="preserve">3. Wijs het instrument aan dat je gaat gebruiken (de scheidslijnkaart, de driestappentoets, het twaalfstappenplan, de vier dimensies van datakwaliteit, et cetera).</w:t>
      </w:r>
    </w:p>
    <w:p>
      <w:pPr>
        <w:pStyle w:val="ListParagraph"/>
        <w:numPr>
          <w:ilvl w:val="0"/>
          <w:numId w:val="1"/>
        </w:numPr>
        <w:spacing w:after="80"/>
      </w:pPr>
      <w:r>
        <w:rPr>
          <w:rFonts w:ascii="Calibri" w:cs="Calibri" w:eastAsia="Calibri" w:hAnsi="Calibri"/>
          <w:sz w:val="22"/>
          <w:szCs w:val="22"/>
        </w:rPr>
        <w:t xml:space="preserve">4. Geef een kort, concreet antwoord — geen uitgebreid advies, een eerste, verdedigbare reactie.</w:t>
      </w:r>
    </w:p>
    <w:p>
      <w:pPr>
        <w:pStyle w:val="ListParagraph"/>
        <w:numPr>
          <w:ilvl w:val="0"/>
          <w:numId w:val="1"/>
        </w:numPr>
        <w:spacing w:after="80"/>
      </w:pPr>
      <w:r>
        <w:rPr>
          <w:rFonts w:ascii="Calibri" w:cs="Calibri" w:eastAsia="Calibri" w:hAnsi="Calibri"/>
          <w:sz w:val="22"/>
          <w:szCs w:val="22"/>
        </w:rPr>
        <w:t xml:space="preserve">5. Benoem wat je nog zou moeten natrekken voordat dit een compleet antwoord is.</w:t>
      </w:r>
    </w:p>
    <w:p>
      <w:pPr>
        <w:spacing w:after="140" w:line="300"/>
      </w:pPr>
      <w:r>
        <w:rPr>
          <w:rFonts w:ascii="Calibri" w:cs="Calibri" w:eastAsia="Calibri" w:hAnsi="Calibri"/>
          <w:b w:val="false"/>
          <w:bCs w:val="false"/>
          <w:i w:val="false"/>
          <w:iCs w:val="false"/>
          <w:sz w:val="22"/>
          <w:szCs w:val="22"/>
        </w:rPr>
        <w:t xml:space="preserve">Deze vijfstappenroutine is zelf een instrument: het is de gecomprimeerde vorm van bijna elke werkwijze die in deze cursus is aangeleerd, van de vier analysevragen uit deel 1 tot de driestappentoets uit deel 22.</w:t>
      </w:r>
    </w:p>
    <w:p>
      <w:pPr>
        <w:spacing w:after="100"/>
      </w:pPr>
    </w:p>
    <w:p>
      <w:pPr>
        <w:pStyle w:val="Heading2"/>
        <w:spacing w:after="120" w:before="200"/>
      </w:pPr>
      <w:r>
        <w:rPr>
          <w:rFonts w:ascii="Georgia" w:cs="Georgia" w:eastAsia="Georgia" w:hAnsi="Georgia"/>
          <w:b/>
          <w:bCs/>
          <w:color w:val="2563A8"/>
          <w:sz w:val="28"/>
          <w:szCs w:val="28"/>
        </w:rPr>
        <w:t xml:space="preserve">29.4 Twaalf casussen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1.</w:t>
      </w:r>
      <w:r>
        <w:rPr>
          <w:rFonts w:ascii="Calibri" w:cs="Calibri" w:eastAsia="Calibri" w:hAnsi="Calibri"/>
          <w:b w:val="false"/>
          <w:bCs w:val="false"/>
          <w:i w:val="false"/>
          <w:iCs w:val="false"/>
          <w:sz w:val="22"/>
          <w:szCs w:val="22"/>
        </w:rPr>
        <w:t xml:space="preserve"> Een nieuwe klant, een groothandel met 40 medewerkers, vertelt dat hij “altijd al” bij zijn huidige verzekeraar heeft gezeten en nooit iets met een fonds te maken heeft gehad. Bij doorvragen blijkt dat de groothandel voor 70% van zijn omzet feitelijk installatiewerkzaamheden verricht.</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mogelijk onopgemerkte verplichte aansluiting bij een bedrijfstakpensioenfonds.</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 werkingssfeertoets (deel 4).</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voordat er iets anders gebeurt, moet de feitelijke bedrijfsactiviteit tegen de relevante werkingssfeerteksten worden gehouden.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exacte verhouding tussen omzetcategorieën en of er een vrijstellingsgrond van toepassing zou kunnen zijn.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2.</w:t>
      </w:r>
      <w:r>
        <w:rPr>
          <w:rFonts w:ascii="Calibri" w:cs="Calibri" w:eastAsia="Calibri" w:hAnsi="Calibri"/>
          <w:b w:val="false"/>
          <w:bCs w:val="false"/>
          <w:i w:val="false"/>
          <w:iCs w:val="false"/>
          <w:sz w:val="22"/>
          <w:szCs w:val="22"/>
        </w:rPr>
        <w:t xml:space="preserve"> Een deelnemer vraagt: “Mijn werkgever zegt dat hij mijn pensioenregeling zomaar mag aanpassen omdat de OR heeft ingestemd. Klopt dat?”</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grens van OR-instemming bij een eenzijdige wijziging.</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het toetsingskader van artikel 19 Pw / 7:613 BW (deel 22).</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nee — OR-instemming is een zwaarwegend gezichtspunt, geen vrijbrief; de werkgever moet nog steeds zelf een zwaarwichtig belang kunnen aantonen.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is er een wijzigingsbeding aanwezig, en wat is het concrete belang van de werkgever?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3.</w:t>
      </w:r>
      <w:r>
        <w:rPr>
          <w:rFonts w:ascii="Calibri" w:cs="Calibri" w:eastAsia="Calibri" w:hAnsi="Calibri"/>
          <w:b w:val="false"/>
          <w:bCs w:val="false"/>
          <w:i w:val="false"/>
          <w:iCs w:val="false"/>
          <w:sz w:val="22"/>
          <w:szCs w:val="22"/>
        </w:rPr>
        <w:t xml:space="preserve"> Een fondsbestuurder vraagt of hij bij het invaren een spreidingstermijn van vijftien jaar mag hanteren in plaats van de wettelijke default van tien.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afwijken van de standaardregel bij invaren.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 standaardmethode en de onderbouwingseisen (deel 16, 24).</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een langere termijn is mogelijk, mits onderbouwd — bijvoorbeeld vanuit evenwichtigheidsoverwegingen specifiek voor dit bestand.</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is er een bestandspecifieke doorrekening die deze afwijking rechtvaardigt?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4.</w:t>
      </w:r>
      <w:r>
        <w:rPr>
          <w:rFonts w:ascii="Calibri" w:cs="Calibri" w:eastAsia="Calibri" w:hAnsi="Calibri"/>
          <w:b w:val="false"/>
          <w:bCs w:val="false"/>
          <w:i w:val="false"/>
          <w:iCs w:val="false"/>
          <w:sz w:val="22"/>
          <w:szCs w:val="22"/>
        </w:rPr>
        <w:t xml:space="preserve"> Een deelnemer bij een verzekerde regeling wisselt van baan en vraagt zich af of hij zijn oude, kleine pensioen “gewoon kan laten staan.”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drie routes voor bestaande aanspraken bij verandering van baan.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achterblijven / waardeoverdracht / automatische overdracht van kleine pensioenen (deel 9).</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ja, laten staan mag, maar bij een klein pensioen onder de wettelijke grens kan automatische overdracht al hebben plaatsgevonden of nog plaatsvinden — dit moet worden gecontroleerd, niet aangenomen.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exacte hoogte van de aanspraak ten opzichte van de actuele afkoop-/overdrachtsgrens.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5.</w:t>
      </w:r>
      <w:r>
        <w:rPr>
          <w:rFonts w:ascii="Calibri" w:cs="Calibri" w:eastAsia="Calibri" w:hAnsi="Calibri"/>
          <w:b w:val="false"/>
          <w:bCs w:val="false"/>
          <w:i w:val="false"/>
          <w:iCs w:val="false"/>
          <w:sz w:val="22"/>
          <w:szCs w:val="22"/>
        </w:rPr>
        <w:t xml:space="preserve"> Een HR-manager vraagt of een medewerker van 62 jaar nog voor de eerbiedigende werking in aanmerking komt bij een omzetting die pas over twee jaar plaatsvindt.</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toegangsvoorwaarden van artikel 220e Pw.</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 drie voorwaarden — bestaande regeling, bestaande deelnemer op de dag vóór omzetting, tijdige omzetting (deel 6).</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in beginsel ja, mits hij op de dag vóór de omzetting nog steeds deelnemer is en de omzetting zelf tijdig plaatsvindt.</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exacte omzettingsdatum ten opzichte van de wettelijke uiterste datum.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6.</w:t>
      </w:r>
      <w:r>
        <w:rPr>
          <w:rFonts w:ascii="Calibri" w:cs="Calibri" w:eastAsia="Calibri" w:hAnsi="Calibri"/>
          <w:b w:val="false"/>
          <w:bCs w:val="false"/>
          <w:i w:val="false"/>
          <w:iCs w:val="false"/>
          <w:sz w:val="22"/>
          <w:szCs w:val="22"/>
        </w:rPr>
        <w:t xml:space="preserve"> Een deelnemer klaagt dat zijn definitieve transitieoverzicht een lager bedrag toont dan het eerdere prognose-overzicht, zonder enige uitleg.</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verplichte toelichting bij afwijking tussen prognose en definitief overzicht.</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 communicatienormen uit deel 17.</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de uitvoerder is wettelijk verplicht dit verschil te verklaren; het enkele bestaan van een verschil is geen fout, het ontbreken van een toelichting wel.</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onderliggende oorzaak (bijvoorbeeld een gewijzigd projectierendement of rentestand) om de deelnemer correct te kunnen informeren.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7.</w:t>
      </w:r>
      <w:r>
        <w:rPr>
          <w:rFonts w:ascii="Calibri" w:cs="Calibri" w:eastAsia="Calibri" w:hAnsi="Calibri"/>
          <w:b w:val="false"/>
          <w:bCs w:val="false"/>
          <w:i w:val="false"/>
          <w:iCs w:val="false"/>
          <w:sz w:val="22"/>
          <w:szCs w:val="22"/>
        </w:rPr>
        <w:t xml:space="preserve"> Een adviseur overweegt een individuele deelnemer persoonlijk te adviseren over zijn uitkeringskeuze op de pensioendatum, zonder daarvoor een apart adviestraject op te starten.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grens tussen keuzebegeleiding en vergunningplichtig advies.</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deel 17 en 18.</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zodra de hulp een concrete, persoonlijke aanbeveling wordt, is dit vergunningplichtig advies en moet het als zodanig worden vastgelegd, inclusief een eigen klantprofiel.</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onder welke vergunning en welk mandaat de adviseur op dit moment al opereert.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8.</w:t>
      </w:r>
      <w:r>
        <w:rPr>
          <w:rFonts w:ascii="Calibri" w:cs="Calibri" w:eastAsia="Calibri" w:hAnsi="Calibri"/>
          <w:b w:val="false"/>
          <w:bCs w:val="false"/>
          <w:i w:val="false"/>
          <w:iCs w:val="false"/>
          <w:sz w:val="22"/>
          <w:szCs w:val="22"/>
        </w:rPr>
        <w:t xml:space="preserve"> Een dossier bevat een salarisgegeven dat drie maanden verouderd blijkt te zijn op het moment van de transitieoverzichten.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een schending van datakwaliteit.</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 vier dimensies — hier specifiek tijdigheid (deel 19).</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het transitieoverzicht moet worden herzien zodra het correcte salaris bekend is, met een heldere toelichting aan de deelnemer.</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waar in de mutatieketen de vertraging is ontstaan, om herhaling te voorkomen.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9.</w:t>
      </w:r>
      <w:r>
        <w:rPr>
          <w:rFonts w:ascii="Calibri" w:cs="Calibri" w:eastAsia="Calibri" w:hAnsi="Calibri"/>
          <w:b w:val="false"/>
          <w:bCs w:val="false"/>
          <w:i w:val="false"/>
          <w:iCs w:val="false"/>
          <w:sz w:val="22"/>
          <w:szCs w:val="22"/>
        </w:rPr>
        <w:t xml:space="preserve"> Een DGA vraagt of hij zijn ODV nu, op zijn 63e, al kan laten ingaan, terwijl zijn AOW-leeftijd 67 is.</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het toegestane ingangsvenster van de ODV.</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deel 26.</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ja, tot vijf jaar vóór het AOW-jaar is toegestaan; de uitkeringsduur wordt dan verlengd met het aantal vervroegde jaren.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of destijds bij de ODV-omzetting een compensatieregeling met zijn partner is getroffen, en of vervroeging daar gevolgen voor heeft.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10.</w:t>
      </w:r>
      <w:r>
        <w:rPr>
          <w:rFonts w:ascii="Calibri" w:cs="Calibri" w:eastAsia="Calibri" w:hAnsi="Calibri"/>
          <w:b w:val="false"/>
          <w:bCs w:val="false"/>
          <w:i w:val="false"/>
          <w:iCs w:val="false"/>
          <w:sz w:val="22"/>
          <w:szCs w:val="22"/>
        </w:rPr>
        <w:t xml:space="preserve"> Een fondsbestuur overweegt liquidatie en een collectieve waardeoverdracht naar een APF, en vraagt of individuele deelnemers hier bezwaar tegen kunnen maken.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het onderscheid tussen invaren en collectieve waardeoverdracht.</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deel 16.</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ja — bij een collectieve waardeoverdracht bestaat een individueel bezwaarrecht, anders dan bij een regulier invaarbesluit.</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precieze procedure en termijn voor het indienen van bezwaar in dit specifieke geval.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11.</w:t>
      </w:r>
      <w:r>
        <w:rPr>
          <w:rFonts w:ascii="Calibri" w:cs="Calibri" w:eastAsia="Calibri" w:hAnsi="Calibri"/>
          <w:b w:val="false"/>
          <w:bCs w:val="false"/>
          <w:i w:val="false"/>
          <w:iCs w:val="false"/>
          <w:sz w:val="22"/>
          <w:szCs w:val="22"/>
        </w:rPr>
        <w:t xml:space="preserve"> Een werkgever met een klein, verzekerd bestand overweegt over te stappen naar een andere, goedkopere verzekeraar en vraagt of dat zonder complicaties kan.</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de waarborg zonder nader medisch onderzoek bij overstap.</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deel 14.</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niet zonder meer — controleer of de nieuwe verzekeraar bereid is het zittende bestand zonder individuele herbeoordeling te accepteren, vóórdat het contract wordt getekend.</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de gezondheidssituatie van eventuele kwetsbare deelnemers binnen het bestand.</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Casus 12.</w:t>
      </w:r>
      <w:r>
        <w:rPr>
          <w:rFonts w:ascii="Calibri" w:cs="Calibri" w:eastAsia="Calibri" w:hAnsi="Calibri"/>
          <w:b w:val="false"/>
          <w:bCs w:val="false"/>
          <w:i w:val="false"/>
          <w:iCs w:val="false"/>
          <w:sz w:val="22"/>
          <w:szCs w:val="22"/>
        </w:rPr>
        <w:t xml:space="preserve"> Een moederbedrijf in het buitenland overweegt de pensioenuitvoering van zijn Nederlandse dochter te centraliseren binnen een Europese constructie.</w:t>
      </w:r>
    </w:p>
    <w:p>
      <w:pPr>
        <w:spacing w:after="140" w:line="300"/>
      </w:pPr>
      <w:r>
        <w:rPr>
          <w:rFonts w:ascii="Calibri" w:cs="Calibri" w:eastAsia="Calibri" w:hAnsi="Calibri"/>
          <w:b w:val="false"/>
          <w:bCs w:val="false"/>
          <w:i/>
          <w:iCs/>
          <w:sz w:val="22"/>
          <w:szCs w:val="22"/>
        </w:rPr>
        <w:t xml:space="preserve">Kernprobleem:</w:t>
      </w:r>
      <w:r>
        <w:rPr>
          <w:rFonts w:ascii="Calibri" w:cs="Calibri" w:eastAsia="Calibri" w:hAnsi="Calibri"/>
          <w:b w:val="false"/>
          <w:bCs w:val="false"/>
          <w:i w:val="false"/>
          <w:iCs w:val="false"/>
          <w:sz w:val="22"/>
          <w:szCs w:val="22"/>
        </w:rPr>
        <w:t xml:space="preserve"> grensoverschrijdend pensioen, buiten de reguliere Nederlandse kaders.</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Instrument:</w:t>
      </w:r>
      <w:r>
        <w:rPr>
          <w:rFonts w:ascii="Calibri" w:cs="Calibri" w:eastAsia="Calibri" w:hAnsi="Calibri"/>
          <w:b w:val="false"/>
          <w:bCs w:val="false"/>
          <w:i w:val="false"/>
          <w:iCs w:val="false"/>
          <w:sz w:val="22"/>
          <w:szCs w:val="22"/>
        </w:rPr>
        <w:t xml:space="preserve"> deel 25.</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Kort antwoord:</w:t>
      </w:r>
      <w:r>
        <w:rPr>
          <w:rFonts w:ascii="Calibri" w:cs="Calibri" w:eastAsia="Calibri" w:hAnsi="Calibri"/>
          <w:b w:val="false"/>
          <w:bCs w:val="false"/>
          <w:i w:val="false"/>
          <w:iCs w:val="false"/>
          <w:sz w:val="22"/>
          <w:szCs w:val="22"/>
        </w:rPr>
        <w:t xml:space="preserve"> dit vergt gespecialiseerd, grensoverschrijdend advies; signaleer het onderwerp en verwijs door in plaats van het zelf volledig te willen afhandelen.</w:t>
      </w:r>
      <w:r>
        <w:rPr>
          <w:rFonts w:ascii="Calibri" w:cs="Calibri" w:eastAsia="Calibri" w:hAnsi="Calibri"/>
          <w:sz w:val="22"/>
          <w:szCs w:val="22"/>
        </w:rPr>
        <w:t xml:space="preserve"> </w:t>
      </w:r>
      <w:r>
        <w:rPr>
          <w:rFonts w:ascii="Calibri" w:cs="Calibri" w:eastAsia="Calibri" w:hAnsi="Calibri"/>
          <w:b w:val="false"/>
          <w:bCs w:val="false"/>
          <w:i/>
          <w:iCs/>
          <w:sz w:val="22"/>
          <w:szCs w:val="22"/>
        </w:rPr>
        <w:t xml:space="preserve">Nog na te trekken:</w:t>
      </w:r>
      <w:r>
        <w:rPr>
          <w:rFonts w:ascii="Calibri" w:cs="Calibri" w:eastAsia="Calibri" w:hAnsi="Calibri"/>
          <w:b w:val="false"/>
          <w:bCs w:val="false"/>
          <w:i w:val="false"/>
          <w:iCs w:val="false"/>
          <w:sz w:val="22"/>
          <w:szCs w:val="22"/>
        </w:rPr>
        <w:t xml:space="preserve"> welke lidstaten en welke regelingen precies betrokken zijn.</w:t>
      </w:r>
    </w:p>
    <w:p>
      <w:pPr>
        <w:spacing w:after="100"/>
      </w:pPr>
    </w:p>
    <w:p>
      <w:pPr>
        <w:pStyle w:val="Heading2"/>
        <w:spacing w:after="120" w:before="200"/>
      </w:pPr>
      <w:r>
        <w:rPr>
          <w:rFonts w:ascii="Georgia" w:cs="Georgia" w:eastAsia="Georgia" w:hAnsi="Georgia"/>
          <w:b/>
          <w:bCs/>
          <w:color w:val="2563A8"/>
          <w:sz w:val="28"/>
          <w:szCs w:val="28"/>
        </w:rPr>
        <w:t xml:space="preserve">29.5 Het patroon achter de twaalf casussen</w:t>
      </w:r>
    </w:p>
    <w:p>
      <w:pPr>
        <w:spacing w:after="140" w:line="300"/>
      </w:pPr>
      <w:r>
        <w:rPr>
          <w:rFonts w:ascii="Calibri" w:cs="Calibri" w:eastAsia="Calibri" w:hAnsi="Calibri"/>
          <w:b w:val="false"/>
          <w:bCs w:val="false"/>
          <w:i w:val="false"/>
          <w:iCs w:val="false"/>
          <w:sz w:val="22"/>
          <w:szCs w:val="22"/>
        </w:rPr>
        <w:t xml:space="preserve">Kijk terug: elke casus koppelt aan precies één (soms twee) eerdere delen, en het kernprobleem is in exact één zin samen te vatten. Dat is het patroon dat je in de praktijk moet kunnen reproduceren: een cliëntvraag, hoe ingewikkeld die ook klinkt, is bijna altijd te herleiden tot een van de instrumenten die je in deze cursus hebt opgebouwd. De vaardigheid zit niet in het kennen van nog meer regels, maar in het </w:t>
      </w:r>
      <w:r>
        <w:rPr>
          <w:rFonts w:ascii="Calibri" w:cs="Calibri" w:eastAsia="Calibri" w:hAnsi="Calibri"/>
          <w:b/>
          <w:bCs/>
          <w:i w:val="false"/>
          <w:iCs w:val="false"/>
          <w:sz w:val="22"/>
          <w:szCs w:val="22"/>
        </w:rPr>
        <w:t xml:space="preserve">snel herkennen welke regel hier van toepassing is.</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29.6 Voorbereiding op de masterproef</w:t>
      </w:r>
    </w:p>
    <w:p>
      <w:pPr>
        <w:spacing w:after="140" w:line="300"/>
      </w:pPr>
      <w:r>
        <w:rPr>
          <w:rFonts w:ascii="Calibri" w:cs="Calibri" w:eastAsia="Calibri" w:hAnsi="Calibri"/>
          <w:b w:val="false"/>
          <w:bCs w:val="false"/>
          <w:i w:val="false"/>
          <w:iCs w:val="false"/>
          <w:sz w:val="22"/>
          <w:szCs w:val="22"/>
        </w:rPr>
        <w:t xml:space="preserve">Deel 30 combineert meerdere van deze soort vraagstukken tegelijk, in één samenhangend, onvoorzien dossier. Gebruik dit deel als laatste check: welke van de twaalf casussen kostte jou de meeste tijd om te diagnosticeren? Dat is precies het deel van de cursus waar je, vóór de masterproef, nog een keer doorheen moet bladeren.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30.</w:t>
      </w:r>
      <w:r>
        <w:rPr>
          <w:rFonts w:ascii="Calibri" w:cs="Calibri" w:eastAsia="Calibri" w:hAnsi="Calibri"/>
          <w:b w:val="false"/>
          <w:bCs w:val="false"/>
          <w:i w:val="false"/>
          <w:iCs w:val="false"/>
          <w:sz w:val="22"/>
          <w:szCs w:val="22"/>
        </w:rPr>
        <w:t xml:space="preserve"> Alle achtentwintig voorgaande delen komen samen in de masterproef: een compleet, onvoorzien dossier bij Van Doorn Techniek, met meerdere gelijktijdige complicaties, verdedigd voor een panel — het sluitstuk van deze cursus.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3 — Expert · Deel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2026-08-17T11:22:46.280Z</dcterms:created>
  <dcterms:modified xsi:type="dcterms:W3CDTF">2026-08-17T11:22:46.280Z</dcterms:modified>
</cp:coreProperties>
</file>

<file path=docProps/custom.xml><?xml version="1.0" encoding="utf-8"?>
<Properties xmlns="http://schemas.openxmlformats.org/officeDocument/2006/custom-properties" xmlns:vt="http://schemas.openxmlformats.org/officeDocument/2006/docPropsVTypes"/>
</file>