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29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29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Marathonoefening</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Ronde 1 — Snelle diagnose (individueel, 20 minuten, geen hulpmiddelen)</w:t>
      </w:r>
    </w:p>
    <w:p>
      <w:pPr>
        <w:spacing w:after="140" w:line="300"/>
      </w:pPr>
      <w:r>
        <w:rPr>
          <w:rFonts w:ascii="Calibri" w:cs="Calibri" w:eastAsia="Calibri" w:hAnsi="Calibri"/>
          <w:b w:val="false"/>
          <w:bCs w:val="false"/>
          <w:i w:val="false"/>
          <w:iCs w:val="false"/>
          <w:sz w:val="22"/>
          <w:szCs w:val="22"/>
        </w:rPr>
        <w:t xml:space="preserve">Pas de vijfstappenroutine uit paragraaf 29.3 toe op elk van de volgende zes nieuwe casussen. Werk snel — maximaal drie minuten per casus.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A.</w:t>
      </w:r>
      <w:r>
        <w:rPr>
          <w:rFonts w:ascii="Calibri" w:cs="Calibri" w:eastAsia="Calibri" w:hAnsi="Calibri"/>
          <w:b w:val="false"/>
          <w:bCs w:val="false"/>
          <w:i w:val="false"/>
          <w:iCs w:val="false"/>
          <w:sz w:val="22"/>
          <w:szCs w:val="22"/>
        </w:rPr>
        <w:t xml:space="preserve"> Een 33-jarige deelnemer bij Bpf T&amp;I gaat scheiden en vraagt of haar ex-partner recht heeft op de helft van haar pensioen.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Kernprobleem: verevening bij scheiding. Instrument: hoofdregel verevening versus conversie (deel 9). Kort antwoord: in beginsel heeft de ex-partner recht op de helft van het tijdens het huwelijk opgebouwde ouderdomspensioen, tenzij partijen voor conversie kiezen of anders overeenkomen. Nog na te trekken: of er huwelijkse voorwaarden zijn die hierop van invloed zijn, en of het gaat om verevening of conversie.</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B.</w:t>
      </w:r>
      <w:r>
        <w:rPr>
          <w:rFonts w:ascii="Calibri" w:cs="Calibri" w:eastAsia="Calibri" w:hAnsi="Calibri"/>
          <w:b w:val="false"/>
          <w:bCs w:val="false"/>
          <w:i w:val="false"/>
          <w:iCs w:val="false"/>
          <w:sz w:val="22"/>
          <w:szCs w:val="22"/>
        </w:rPr>
        <w:t xml:space="preserve"> Een werkgever met een klein bestand wil zijn premie verhogen naar 32% van de grondslag, zonder gebruik te maken van de compensatieperiode.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Kernprobleem: overschrijding van de fiscale premiegrens. Instrument: de 30%-toets uit deel 11. Kort antwoord: dit is niet toegestaan — 32% overschrijdt de reguliere grens van 30%, en zonder de tijdelijke compensatieverhoging (die alleen tijdens de compensatieperiode en voor het compensatiedoel geldt) is dit een fiscaal bovenmatige regeling. Nog na te trekken: of er een andere, toegestane grondslag is voor het gewenste hogere niveau.</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C.</w:t>
      </w:r>
      <w:r>
        <w:rPr>
          <w:rFonts w:ascii="Calibri" w:cs="Calibri" w:eastAsia="Calibri" w:hAnsi="Calibri"/>
          <w:b w:val="false"/>
          <w:bCs w:val="false"/>
          <w:i w:val="false"/>
          <w:iCs w:val="false"/>
          <w:sz w:val="22"/>
          <w:szCs w:val="22"/>
        </w:rPr>
        <w:t xml:space="preserve"> Een deelnemer wil weten waarom zijn variabele pensioenuitkering dit jaar is gedaald, terwijl de beurs het afgelopen jaar goed heeft gepresteerd.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Kernprobleem: het samenspel van projectierendement, werkelijk rendement en sterfteresultaat bij een variabele uitkering. Instrument: deel 13. Kort antwoord: een daling kan ontstaan doordat het werkelijke rendement, hoewel positief, toch achterbleef bij het ingerekende projectierendement, of door een aanpassing op basis van de werkelijke sterfte binnen de toedelingskring. Nog na te trekken: de exacte opbouw van de jaarlijkse herziening bij deze uitvoerder.</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D.</w:t>
      </w:r>
      <w:r>
        <w:rPr>
          <w:rFonts w:ascii="Calibri" w:cs="Calibri" w:eastAsia="Calibri" w:hAnsi="Calibri"/>
          <w:b w:val="false"/>
          <w:bCs w:val="false"/>
          <w:i w:val="false"/>
          <w:iCs w:val="false"/>
          <w:sz w:val="22"/>
          <w:szCs w:val="22"/>
        </w:rPr>
        <w:t xml:space="preserve"> Een fondsbestuur wil weten of het zijn eigenrisicobeoordeling ook mag gebruiken als onderbouwing bij een toekomstig invaarbesluit.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Kernprobleem: de relatie tussen structurele governance en eenmalige transitiebesluiten. Instrument: deel 25 en 24. Kort antwoord: ja, en dat is zelfs aan te raden — een goed gedocumenteerde ERB levert precies het soort bestandspecifieke risicoanalyse op die bij een latere juridische toets van een invaarbesluit doorslaggevend kan zijn. Nog na te trekken: of de ERB actueel genoeg is op het moment van het daadwerkelijke besluit.</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E.</w:t>
      </w:r>
      <w:r>
        <w:rPr>
          <w:rFonts w:ascii="Calibri" w:cs="Calibri" w:eastAsia="Calibri" w:hAnsi="Calibri"/>
          <w:b w:val="false"/>
          <w:bCs w:val="false"/>
          <w:i w:val="false"/>
          <w:iCs w:val="false"/>
          <w:sz w:val="22"/>
          <w:szCs w:val="22"/>
        </w:rPr>
        <w:t xml:space="preserve"> Een adviseur ontdekt dat een cliënt al drie jaar een te lage franchise hanteert doordat de deeltijdfactor verkeerd wordt toegepast.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Kernprobleem: een consistentiefout in de premieberekening. Instrument: deel 11 (franchise-toepassing) en deel 19 (datakwaliteit, dimensie consistentie). Kort antwoord: de fout moet worden gecorrigeerd en de gevolgen voor eerdere jaren in kaart worden gebracht — mogelijk is er te veel of te weinig premie ingehouden, met gevolgen voor zowel de werkgever als de deelnemers. Nog na te trekken: de exacte financiële omvang van de fout en de te volgen correctieprocedure.</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F.</w:t>
      </w:r>
      <w:r>
        <w:rPr>
          <w:rFonts w:ascii="Calibri" w:cs="Calibri" w:eastAsia="Calibri" w:hAnsi="Calibri"/>
          <w:b w:val="false"/>
          <w:bCs w:val="false"/>
          <w:i w:val="false"/>
          <w:iCs w:val="false"/>
          <w:sz w:val="22"/>
          <w:szCs w:val="22"/>
        </w:rPr>
        <w:t xml:space="preserve"> Een zzp’er, voormalig werknemer in de techniek, vraagt of hij nog steeds bij zijn oude bedrijfstakpensioenfonds kan opbouwen.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Kernprobleem: voortzetting van pensioenopbouw na overstap naar zelfstandig ondernemerschap. Instrument: deel 26. Kort antwoord: mogelijk, via vrijwillige voortzetting bij het fonds, onder de daarvoor geldende voorwaarden en termijnen; zo niet, dan resteert de derde pijler als route. Nog na te trekken: de specifieke voortzettingsregels van dit fonds en of de aanvraagtermijn nog openstaat.</w:t>
            </w:r>
          </w:p>
        </w:tc>
      </w:tr>
    </w:tbl>
    <w:p>
      <w:pPr>
        <w:spacing w:after="100"/>
      </w:pPr>
    </w:p>
    <w:p>
      <w:pPr>
        <w:pStyle w:val="Heading2"/>
        <w:spacing w:after="120" w:before="200"/>
      </w:pPr>
      <w:r>
        <w:rPr>
          <w:rFonts w:ascii="Georgia" w:cs="Georgia" w:eastAsia="Georgia" w:hAnsi="Georgia"/>
          <w:b/>
          <w:bCs/>
          <w:color w:val="2563A8"/>
          <w:sz w:val="28"/>
          <w:szCs w:val="28"/>
        </w:rPr>
        <w:t xml:space="preserve">Ronde 2 — Registerwisseling (in tweetallen, 30 minuten)</w:t>
      </w:r>
    </w:p>
    <w:p>
      <w:pPr>
        <w:spacing w:after="140" w:line="300"/>
      </w:pPr>
      <w:r>
        <w:rPr>
          <w:rFonts w:ascii="Calibri" w:cs="Calibri" w:eastAsia="Calibri" w:hAnsi="Calibri"/>
          <w:b w:val="false"/>
          <w:bCs w:val="false"/>
          <w:i w:val="false"/>
          <w:iCs w:val="false"/>
          <w:sz w:val="22"/>
          <w:szCs w:val="22"/>
        </w:rPr>
        <w:t xml:space="preserve">Neem drie casussen uit Ronde 1 naar keuze. Beantwoord elke casus twee keer: één keer alsof je het aan de betrokken deelnemer zelf uitlegt, en één keer alsof je het aan een fondsbestuurder of directeur rapporteert. Controleer na afloop: vertellen beide versies hetzelfde feitenverhaal, met alleen een ander register?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 dit is een mondelinge/schriftelijke oefening. Beoordelingscriterium, identiek aan de rubrieken uit de capstones van deel 10 en 21: het register (jargon, toon, detailniveau) mag verschillen, de inhoud niet. Een veelgemaakte fout in deze oefening: de versie voor de deelnemer geruststellender maken dan de feiten rechtvaardigen. Vermijd dat expliciet.</w:t>
            </w:r>
          </w:p>
        </w:tc>
      </w:tr>
    </w:tbl>
    <w:p>
      <w:pPr>
        <w:spacing w:after="100"/>
      </w:pPr>
    </w:p>
    <w:p>
      <w:pPr>
        <w:pStyle w:val="Heading2"/>
        <w:spacing w:after="120" w:before="200"/>
      </w:pPr>
      <w:r>
        <w:rPr>
          <w:rFonts w:ascii="Georgia" w:cs="Georgia" w:eastAsia="Georgia" w:hAnsi="Georgia"/>
          <w:b/>
          <w:bCs/>
          <w:color w:val="2563A8"/>
          <w:sz w:val="28"/>
          <w:szCs w:val="28"/>
        </w:rPr>
        <w:t xml:space="preserve">Ronde 3 — Prioriteren onder tijdsdruk (individueel, 15 minuten)</w:t>
      </w:r>
    </w:p>
    <w:p>
      <w:pPr>
        <w:spacing w:after="140" w:line="300"/>
      </w:pPr>
      <w:r>
        <w:rPr>
          <w:rFonts w:ascii="Calibri" w:cs="Calibri" w:eastAsia="Calibri" w:hAnsi="Calibri"/>
          <w:b w:val="false"/>
          <w:bCs w:val="false"/>
          <w:i w:val="false"/>
          <w:iCs w:val="false"/>
          <w:sz w:val="22"/>
          <w:szCs w:val="22"/>
        </w:rPr>
        <w:t xml:space="preserve">Een cliënt belt met de volgende drie vragen tegelijk, en heeft maar tien minuten voordat hij naar een andere afspraak moet:</w:t>
      </w:r>
    </w:p>
    <w:p>
      <w:pPr>
        <w:pStyle w:val="ListParagraph"/>
        <w:numPr>
          <w:ilvl w:val="0"/>
          <w:numId w:val="1"/>
        </w:numPr>
        <w:spacing w:after="80"/>
      </w:pPr>
      <w:r>
        <w:rPr>
          <w:rFonts w:ascii="Calibri" w:cs="Calibri" w:eastAsia="Calibri" w:hAnsi="Calibri"/>
          <w:sz w:val="22"/>
          <w:szCs w:val="22"/>
        </w:rPr>
        <w:t xml:space="preserve">1. “Klopt het dat mijn compensatie dit jaar stopt?”</w:t>
      </w:r>
    </w:p>
    <w:p>
      <w:pPr>
        <w:pStyle w:val="ListParagraph"/>
        <w:numPr>
          <w:ilvl w:val="0"/>
          <w:numId w:val="1"/>
        </w:numPr>
        <w:spacing w:after="80"/>
      </w:pPr>
      <w:r>
        <w:rPr>
          <w:rFonts w:ascii="Calibri" w:cs="Calibri" w:eastAsia="Calibri" w:hAnsi="Calibri"/>
          <w:sz w:val="22"/>
          <w:szCs w:val="22"/>
        </w:rPr>
        <w:t xml:space="preserve">2. “Kan ik nog dit kwartaal van uitvoerder wisselen?”</w:t>
      </w:r>
    </w:p>
    <w:p>
      <w:pPr>
        <w:pStyle w:val="ListParagraph"/>
        <w:numPr>
          <w:ilvl w:val="0"/>
          <w:numId w:val="1"/>
        </w:numPr>
        <w:spacing w:after="80"/>
      </w:pPr>
      <w:r>
        <w:rPr>
          <w:rFonts w:ascii="Calibri" w:cs="Calibri" w:eastAsia="Calibri" w:hAnsi="Calibri"/>
          <w:sz w:val="22"/>
          <w:szCs w:val="22"/>
        </w:rPr>
        <w:t xml:space="preserve">3. “Mijn dochter erft toch niets van mijn pensioen als ik overlijd voor mijn pensioendatum?”</w:t>
      </w:r>
    </w:p>
    <w:p>
      <w:pPr>
        <w:spacing w:after="140" w:line="300"/>
      </w:pPr>
      <w:r>
        <w:rPr>
          <w:rFonts w:ascii="Calibri" w:cs="Calibri" w:eastAsia="Calibri" w:hAnsi="Calibri"/>
          <w:b w:val="false"/>
          <w:bCs w:val="false"/>
          <w:i w:val="false"/>
          <w:iCs w:val="false"/>
          <w:sz w:val="22"/>
          <w:szCs w:val="22"/>
        </w:rPr>
        <w:t xml:space="preserve">Welke vraag beantwoord je eerst, welke tweede, welke derde — en waarom? Geef bij elke vraag ook een kernachtig, direct antwoord van maximaal twee zinnen.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Prioriteit 1 — vraag 3: dit raakt een risicodekking (wezenpensioen, deel 8) waarbij onjuiste geruststelling het meest schadelijk zou zijn als de aanname verkeerd is; bovendien is dit meestal snel en definitief te beantwoorden. Antwoord: “Uw wezenpensioen is een aparte dekking naast het partnerpensioen — als u een kind heeft, is er in de regel wél een uitkering voor haar; laat me dat voor uw specifieke regeling bevestigen.”</w:t>
      </w:r>
    </w:p>
    <w:p>
      <w:pPr>
        <w:spacing w:after="140" w:line="300"/>
      </w:pPr>
      <w:r>
        <w:rPr>
          <w:rFonts w:ascii="Calibri" w:cs="Calibri" w:eastAsia="Calibri" w:hAnsi="Calibri"/>
          <w:b w:val="false"/>
          <w:bCs w:val="false"/>
          <w:i w:val="false"/>
          <w:iCs w:val="false"/>
          <w:sz w:val="22"/>
          <w:szCs w:val="22"/>
        </w:rPr>
        <w:t xml:space="preserve">Prioriteit 2 — vraag 1: heeft een concrete datum-urgentie (compensatieperiode loopt tot een vaste einddatum, deel 7) en financiële impact. Antwoord: “De reguliere compensatieperiode loopt tot uiterlijk 1 januari 2037 — of uw eigen compensatie dit jaar stopt hangt af van de specifieke afspraak in uw transitieplan, dat ik voor u moet nakijken.”</w:t>
      </w:r>
    </w:p>
    <w:p>
      <w:pPr>
        <w:spacing w:after="140" w:line="300"/>
      </w:pPr>
      <w:r>
        <w:rPr>
          <w:rFonts w:ascii="Calibri" w:cs="Calibri" w:eastAsia="Calibri" w:hAnsi="Calibri"/>
          <w:b w:val="false"/>
          <w:bCs w:val="false"/>
          <w:i w:val="false"/>
          <w:iCs w:val="false"/>
          <w:sz w:val="22"/>
          <w:szCs w:val="22"/>
        </w:rPr>
        <w:t xml:space="preserve">Prioriteit 3 — vraag 2: heeft weliswaar een kwartaaldeadline, maar een uitvoerderwissel is een grondig te onderzoeken beslissing (deel 14) die niet in tien minuten kan worden afgehandeld; het eerlijke antwoord is dat hier meer tijd voor nodig is. Antwoord: “Dat kan mogelijk, maar een uitvoerderwissel vergt eerst een zorgvuldige vergelijking — laten we daar een apart moment voor plannen, ook al is uw deadline dit kwartaal.”</w:t>
      </w:r>
    </w:p>
    <w:p>
      <w:pPr>
        <w:spacing w:after="140" w:line="300"/>
      </w:pPr>
      <w:r>
        <w:rPr>
          <w:rFonts w:ascii="Calibri" w:cs="Calibri" w:eastAsia="Calibri" w:hAnsi="Calibri"/>
          <w:b w:val="false"/>
          <w:bCs w:val="false"/>
          <w:i w:val="false"/>
          <w:iCs w:val="false"/>
          <w:sz w:val="22"/>
          <w:szCs w:val="22"/>
        </w:rPr>
        <w:t xml:space="preserve">Beoordelingslijn: de prioritering moet gemotiveerd zijn (urgentie, risico van verkeerde geruststelling, haalbaarheid binnen de tijd), niet willekeurig. De derde vraag mag niet worden “afgeraffeld” om toch alle drie te beantwoorden — eerlijkheid over onvoldoende tijd is zelf een vaardigheid uit deze cursus (deel 10, 21).</w:t>
      </w:r>
    </w:p>
    <w:p>
      <w:pPr>
        <w:spacing w:after="100"/>
      </w:pPr>
    </w:p>
    <w:p>
      <w:pPr>
        <w:pStyle w:val="Heading2"/>
        <w:spacing w:after="120" w:before="200"/>
      </w:pPr>
      <w:r>
        <w:rPr>
          <w:rFonts w:ascii="Georgia" w:cs="Georgia" w:eastAsia="Georgia" w:hAnsi="Georgia"/>
          <w:b/>
          <w:bCs/>
          <w:color w:val="2563A8"/>
          <w:sz w:val="28"/>
          <w:szCs w:val="28"/>
        </w:rPr>
        <w:t xml:space="preserve">Zelfreflectie</w:t>
      </w:r>
    </w:p>
    <w:p>
      <w:pPr>
        <w:spacing w:after="140" w:line="300"/>
      </w:pPr>
      <w:r>
        <w:rPr>
          <w:rFonts w:ascii="Calibri" w:cs="Calibri" w:eastAsia="Calibri" w:hAnsi="Calibri"/>
          <w:b w:val="false"/>
          <w:bCs w:val="false"/>
          <w:i w:val="false"/>
          <w:iCs w:val="false"/>
          <w:sz w:val="22"/>
          <w:szCs w:val="22"/>
        </w:rPr>
        <w:t xml:space="preserve">Noteer, na afronding van alle drie de rondes: welke casus of welk onderdeel kostte jou merkbaar meer tijd of moeite dan de rest? Dat is het punt waar je vóór deel 30 nog een keer doorheen moet bladeren.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 persoonlijke voorbereiding op de masterproef.</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2026-08-17T11:22:46.330Z</dcterms:created>
  <dcterms:modified xsi:type="dcterms:W3CDTF">2026-08-17T11:22:46.330Z</dcterms:modified>
</cp:coreProperties>
</file>

<file path=docProps/custom.xml><?xml version="1.0" encoding="utf-8"?>
<Properties xmlns="http://schemas.openxmlformats.org/officeDocument/2006/custom-properties" xmlns:vt="http://schemas.openxmlformats.org/officeDocument/2006/docPropsVTypes"/>
</file>