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30 — Docentenhandleiding</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30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Twee dagdelen (elk 3 uur inclusief pauze) — sluitstuk van de gehele cursus</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deel</w:t>
      </w:r>
    </w:p>
    <w:p>
      <w:pPr>
        <w:spacing w:after="140" w:line="300"/>
      </w:pPr>
      <w:r>
        <w:rPr>
          <w:rFonts w:ascii="Calibri" w:cs="Calibri" w:eastAsia="Calibri" w:hAnsi="Calibri"/>
          <w:b w:val="false"/>
          <w:bCs w:val="false"/>
          <w:i w:val="false"/>
          <w:iCs w:val="false"/>
          <w:sz w:val="22"/>
          <w:szCs w:val="22"/>
        </w:rPr>
        <w:t xml:space="preserve">Dit is het sluitstuk van dertig delen. Het doel is geen nieuwe kennis maar de ultieme integratietoets: kunnen deelnemers een complex, onvoorzien dossier met vier gelijktijdige complicaties zelfstandig ontleden, prioriteren, oplossen en verdedigen — met gebruikmaking van instrumenten uit alle drie de niveaus?</w:t>
      </w:r>
    </w:p>
    <w:p>
      <w:pPr>
        <w:spacing w:after="140" w:line="300"/>
      </w:pPr>
      <w:r>
        <w:rPr>
          <w:rFonts w:ascii="Calibri" w:cs="Calibri" w:eastAsia="Calibri" w:hAnsi="Calibri"/>
          <w:b w:val="false"/>
          <w:bCs w:val="false"/>
          <w:i w:val="false"/>
          <w:iCs w:val="false"/>
          <w:sz w:val="22"/>
          <w:szCs w:val="22"/>
        </w:rPr>
        <w:t xml:space="preserve">Twee dagdelen, twee functies:</w:t>
      </w:r>
    </w:p>
    <w:p>
      <w:pPr>
        <w:pStyle w:val="ListParagraph"/>
        <w:numPr>
          <w:ilvl w:val="0"/>
          <w:numId w:val="1"/>
        </w:numPr>
        <w:spacing w:after="80"/>
      </w:pPr>
      <w:r>
        <w:rPr>
          <w:rFonts w:ascii="Calibri" w:cs="Calibri" w:eastAsia="Calibri" w:hAnsi="Calibri"/>
          <w:sz w:val="22"/>
          <w:szCs w:val="22"/>
        </w:rPr>
        <w:t xml:space="preserve">Dagdeel A is het schriftelijke werk: het dossier doorgronden en het advies opstellen.</w:t>
      </w:r>
    </w:p>
    <w:p>
      <w:pPr>
        <w:pStyle w:val="ListParagraph"/>
        <w:numPr>
          <w:ilvl w:val="0"/>
          <w:numId w:val="1"/>
        </w:numPr>
        <w:spacing w:after="80"/>
      </w:pPr>
      <w:r>
        <w:rPr>
          <w:rFonts w:ascii="Calibri" w:cs="Calibri" w:eastAsia="Calibri" w:hAnsi="Calibri"/>
          <w:sz w:val="22"/>
          <w:szCs w:val="22"/>
        </w:rPr>
        <w:t xml:space="preserve">Dagdeel B is de boardsimulatie: het advies verdedigen voor vier rollen met uiteenlopende belangen.</w:t>
      </w:r>
    </w:p>
    <w:p>
      <w:pPr>
        <w:spacing w:after="100"/>
      </w:pPr>
    </w:p>
    <w:p>
      <w:pPr>
        <w:pStyle w:val="Heading2"/>
        <w:spacing w:after="120" w:before="200"/>
      </w:pPr>
      <w:r>
        <w:rPr>
          <w:rFonts w:ascii="Georgia" w:cs="Georgia" w:eastAsia="Georgia" w:hAnsi="Georgia"/>
          <w:b/>
          <w:bCs/>
          <w:color w:val="2563A8"/>
          <w:sz w:val="28"/>
          <w:szCs w:val="28"/>
        </w:rPr>
        <w:t xml:space="preserve">DAGDEEL A — 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Introductie van het dossier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30.1 — prioritering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dan korte plenaire peiling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30.2 — de discriminatieklacht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30.3 — datakwaliteit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30.4 en 30.5 — Karel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30.6 — Ferdi</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30.7 — kruisverwijzingen, dan het volledige advies afronden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Zelfcheck (30.8), inleveren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DAGDEEL B — 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Herstart, verdeling in groepjes van vijf</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Eerste verdedigingsronde (twee deelnemers)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Boardsimulatie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Tweede verdedigingsronde (twee deelnemers)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Boardsimulatie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Derde verdedigingsronde (resterende deelnemers, verkort)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Boardsimulatie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Plenaire terugblik, opdracht 30.9</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Slotwoord en afsluiting van de cursus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Groepsgrootte.</w:t>
      </w:r>
      <w:r>
        <w:rPr>
          <w:rFonts w:ascii="Calibri" w:cs="Calibri" w:eastAsia="Calibri" w:hAnsi="Calibri"/>
          <w:b w:val="false"/>
          <w:bCs w:val="false"/>
          <w:i w:val="false"/>
          <w:iCs w:val="false"/>
          <w:sz w:val="22"/>
          <w:szCs w:val="22"/>
        </w:rPr>
        <w:t xml:space="preserve"> Organiseer groepjes van vijf: één verdedigt, vier spelen de rollen (30.7). Rouleer zodat zoveel mogelijk deelnemers een volledige verdediging doorlopen; bij grotere groepen kan een verkorte vorm (twintig in plaats van vijfenveertig minuten) nodig zijn voor de laatste ronde — communiceer dit vooraf.</w:t>
      </w:r>
    </w:p>
    <w:p>
      <w:pPr>
        <w:spacing w:after="100"/>
      </w:pPr>
    </w:p>
    <w:p>
      <w:pPr>
        <w:pStyle w:val="Heading2"/>
        <w:spacing w:after="120" w:before="200"/>
      </w:pPr>
      <w:r>
        <w:rPr>
          <w:rFonts w:ascii="Georgia" w:cs="Georgia" w:eastAsia="Georgia" w:hAnsi="Georgia"/>
          <w:b/>
          <w:bCs/>
          <w:color w:val="2563A8"/>
          <w:sz w:val="28"/>
          <w:szCs w:val="28"/>
        </w:rPr>
        <w:t xml:space="preserve">Aandachtspunten dagdeel A</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Introductie.</w:t>
      </w:r>
      <w:r>
        <w:rPr>
          <w:rFonts w:ascii="Calibri" w:cs="Calibri" w:eastAsia="Calibri" w:hAnsi="Calibri"/>
          <w:b w:val="false"/>
          <w:bCs w:val="false"/>
          <w:i w:val="false"/>
          <w:iCs w:val="false"/>
          <w:sz w:val="22"/>
          <w:szCs w:val="22"/>
        </w:rPr>
        <w:t xml:space="preserve"> Presenteer het dossier in één keer, zonder tussentijdse hints. Laat de complexiteit even inwerken — dit is precies het gevoel dat een adviseur in de praktijk overvalt wanneer een cliënt met meerdere problemen tegelijk aanklopt.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Prioritering (30.1).</w:t>
      </w:r>
      <w:r>
        <w:rPr>
          <w:rFonts w:ascii="Calibri" w:cs="Calibri" w:eastAsia="Calibri" w:hAnsi="Calibri"/>
          <w:b w:val="false"/>
          <w:bCs w:val="false"/>
          <w:i w:val="false"/>
          <w:iCs w:val="false"/>
          <w:sz w:val="22"/>
          <w:szCs w:val="22"/>
        </w:rPr>
        <w:t xml:space="preserve"> Peil na de individuele opdracht kort plenair welke volgorde het vaakst voorkomt, zonder een “juist antwoord” te suggereren. Het doel is te laten zien dat redelijke professionals hier van mening kunnen verschillen, zolang de motivering steekhoudend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discriminatieklacht (30.2) — de zwaarste opgave.</w:t>
      </w:r>
      <w:r>
        <w:rPr>
          <w:rFonts w:ascii="Calibri" w:cs="Calibri" w:eastAsia="Calibri" w:hAnsi="Calibri"/>
          <w:b w:val="false"/>
          <w:bCs w:val="false"/>
          <w:i w:val="false"/>
          <w:iCs w:val="false"/>
          <w:sz w:val="22"/>
          <w:szCs w:val="22"/>
        </w:rPr>
        <w:t xml:space="preserve"> Loop rond en let op twee dingen: gebruiken deelnemers daadwerkelijk de driestappentoets uit deel 22, en betrekken zij de cohortvermenging uit deel 23 expliciet? Dit is het onderdeel waarop de meeste deelnemers waarschijnlijk het meest tijd nodig hebben — plan daar bewust ruimte voor.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Datakwaliteit (30.3).</w:t>
      </w:r>
      <w:r>
        <w:rPr>
          <w:rFonts w:ascii="Calibri" w:cs="Calibri" w:eastAsia="Calibri" w:hAnsi="Calibri"/>
          <w:b w:val="false"/>
          <w:bCs w:val="false"/>
          <w:i w:val="false"/>
          <w:iCs w:val="false"/>
          <w:sz w:val="22"/>
          <w:szCs w:val="22"/>
        </w:rPr>
        <w:t xml:space="preserve"> Dit zou, na de casuïstiek-marathon van deel 29, relatief snel moeten gaan. Als deelnemers hier vastlopen, is dat een signaal dat deel 19 herhaling nodig heeft — maar behandel dat niet meer in dit deel, noteer het voor individuele nazorg.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Karel (30.4, 30.5) en Ferdi (30.6).</w:t>
      </w:r>
      <w:r>
        <w:rPr>
          <w:rFonts w:ascii="Calibri" w:cs="Calibri" w:eastAsia="Calibri" w:hAnsi="Calibri"/>
          <w:b w:val="false"/>
          <w:bCs w:val="false"/>
          <w:i w:val="false"/>
          <w:iCs w:val="false"/>
          <w:sz w:val="22"/>
          <w:szCs w:val="22"/>
        </w:rPr>
        <w:t xml:space="preserve"> Deze onderdelen zijn qua methode grotendeels herhaling van eerder werk (deel 11, 13, 26), nu toegepast op nieuwe cijfers en een nieuwe situatie. Laat ze relatief zelfstandig en vlot verlopen.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Kruisverwijzingen (30.7).</w:t>
      </w:r>
      <w:r>
        <w:rPr>
          <w:rFonts w:ascii="Calibri" w:cs="Calibri" w:eastAsia="Calibri" w:hAnsi="Calibri"/>
          <w:b w:val="false"/>
          <w:bCs w:val="false"/>
          <w:i w:val="false"/>
          <w:iCs w:val="false"/>
          <w:sz w:val="22"/>
          <w:szCs w:val="22"/>
        </w:rPr>
        <w:t xml:space="preserve"> Dit is het onderdeel dat het verschil maakt tussen “vier losse deeladviezen” en “één samenhangend dossier”. Besteed hier expliciete aandacht aan vlak vóór het inleveren — het is de makkelijkste stap om onder tijdsdruk te laten vallen, en juist de stap die de rubric het zwaarst beloont.</w:t>
      </w:r>
    </w:p>
    <w:p>
      <w:pPr>
        <w:spacing w:after="100"/>
      </w:pPr>
    </w:p>
    <w:p>
      <w:pPr>
        <w:pStyle w:val="Heading2"/>
        <w:spacing w:after="120" w:before="200"/>
      </w:pPr>
      <w:r>
        <w:rPr>
          <w:rFonts w:ascii="Georgia" w:cs="Georgia" w:eastAsia="Georgia" w:hAnsi="Georgia"/>
          <w:b/>
          <w:bCs/>
          <w:color w:val="2563A8"/>
          <w:sz w:val="28"/>
          <w:szCs w:val="28"/>
        </w:rPr>
        <w:t xml:space="preserve">Aandachtspunten dagdeel B</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Herstart.</w:t>
      </w:r>
      <w:r>
        <w:rPr>
          <w:rFonts w:ascii="Calibri" w:cs="Calibri" w:eastAsia="Calibri" w:hAnsi="Calibri"/>
          <w:b w:val="false"/>
          <w:bCs w:val="false"/>
          <w:i w:val="false"/>
          <w:iCs w:val="false"/>
          <w:sz w:val="22"/>
          <w:szCs w:val="22"/>
        </w:rPr>
        <w:t xml:space="preserve"> Geef een korte, scherpe herinnering aan de vier rollen en hun belangen (30.7 in de reader) vóórdat de simulaties beginnen.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boardsimulaties.</w:t>
      </w:r>
      <w:r>
        <w:rPr>
          <w:rFonts w:ascii="Calibri" w:cs="Calibri" w:eastAsia="Calibri" w:hAnsi="Calibri"/>
          <w:b w:val="false"/>
          <w:bCs w:val="false"/>
          <w:i w:val="false"/>
          <w:iCs w:val="false"/>
          <w:sz w:val="22"/>
          <w:szCs w:val="22"/>
        </w:rPr>
        <w:t xml:space="preserve"> Dit is het emotionele en inhoudelijke hoogtepunt van de hele cursus. Let bij elke verdediging specifiek op:</w:t>
      </w:r>
    </w:p>
    <w:p>
      <w:pPr>
        <w:pStyle w:val="ListParagraph"/>
        <w:numPr>
          <w:ilvl w:val="0"/>
          <w:numId w:val="1"/>
        </w:numPr>
        <w:spacing w:after="80"/>
      </w:pPr>
      <w:r>
        <w:rPr>
          <w:rFonts w:ascii="Calibri" w:cs="Calibri" w:eastAsia="Calibri" w:hAnsi="Calibri"/>
          <w:sz w:val="22"/>
          <w:szCs w:val="22"/>
        </w:rPr>
        <w:t xml:space="preserve">Simones rol. Dit is de rol waar het meest op het spel staat qua toon. Een deelnemer die Simones klacht wegredeneert met alleen juridisch jargon (“de driestappentoets wijst uit dat…”) zonder oprechte erkenning, faalt op criterium 6 — grijp hier zo nodig direct op in tijdens de nabespreking, niet tijdens de verdediging zelf.</w:t>
      </w:r>
    </w:p>
    <w:p>
      <w:pPr>
        <w:pStyle w:val="ListParagraph"/>
        <w:numPr>
          <w:ilvl w:val="0"/>
          <w:numId w:val="1"/>
        </w:numPr>
        <w:spacing w:after="80"/>
      </w:pPr>
      <w:r>
        <w:rPr>
          <w:rFonts w:ascii="Calibri" w:cs="Calibri" w:eastAsia="Calibri" w:hAnsi="Calibri"/>
          <w:sz w:val="22"/>
          <w:szCs w:val="22"/>
        </w:rPr>
        <w:t xml:space="preserve">Ferdi’s tijdsdruk. Let of de kandidaat onder druk van Ferdi’s ongeduld (“kunnen we dit niet gewoon snel oplossen?”) geen overhaaste, te geruststellende toezeggingen doet.</w:t>
      </w:r>
    </w:p>
    <w:p>
      <w:pPr>
        <w:pStyle w:val="ListParagraph"/>
        <w:numPr>
          <w:ilvl w:val="0"/>
          <w:numId w:val="1"/>
        </w:numPr>
        <w:spacing w:after="80"/>
      </w:pPr>
      <w:r>
        <w:rPr>
          <w:rFonts w:ascii="Calibri" w:cs="Calibri" w:eastAsia="Calibri" w:hAnsi="Calibri"/>
          <w:sz w:val="22"/>
          <w:szCs w:val="22"/>
        </w:rPr>
        <w:t xml:space="preserve">Karels persoonlijke onzekerheid. Dit raakt rechtstreeks aan de toon-eisen uit deel 8 en 9 — “gemiddeld genomen” en vergelijkbare bagatelliserende taal is hier net zo verboden als destijds.</w:t>
      </w:r>
    </w:p>
    <w:p>
      <w:pPr>
        <w:pStyle w:val="ListParagraph"/>
        <w:numPr>
          <w:ilvl w:val="0"/>
          <w:numId w:val="1"/>
        </w:numPr>
        <w:spacing w:after="80"/>
      </w:pPr>
      <w:r>
        <w:rPr>
          <w:rFonts w:ascii="Calibri" w:cs="Calibri" w:eastAsia="Calibri" w:hAnsi="Calibri"/>
          <w:sz w:val="22"/>
          <w:szCs w:val="22"/>
        </w:rPr>
        <w:t xml:space="preserve">De toezichtsrol. Test of de kandidaat het datakwaliteitsprobleem behandelt als incident of als signaal van een structureel risico — het juiste antwoord erkent de mogelijkheid van een structureel patroon en stelt concrete vervolgstappen voor, in plaats van het te bagatelliseren.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Terugblik (30.9).</w:t>
      </w:r>
      <w:r>
        <w:rPr>
          <w:rFonts w:ascii="Calibri" w:cs="Calibri" w:eastAsia="Calibri" w:hAnsi="Calibri"/>
          <w:b w:val="false"/>
          <w:bCs w:val="false"/>
          <w:i w:val="false"/>
          <w:iCs w:val="false"/>
          <w:sz w:val="22"/>
          <w:szCs w:val="22"/>
        </w:rPr>
        <w:t xml:space="preserve"> Dit plenaire moment is bewust ingebouwd als afsluiting van de hele cursus, niet alleen van deze masterproef. Laat meerdere deelnemers hun antwoord op de vraag “welk instrument was hier het meest onmisbaar” delen — de spreiding in antwoorden is zelf een mooi bewijs van hoe rijk de gereedschapskist is geworden.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slotwoord.</w:t>
      </w:r>
      <w:r>
        <w:rPr>
          <w:rFonts w:ascii="Calibri" w:cs="Calibri" w:eastAsia="Calibri" w:hAnsi="Calibri"/>
          <w:b w:val="false"/>
          <w:bCs w:val="false"/>
          <w:i w:val="false"/>
          <w:iCs w:val="false"/>
          <w:sz w:val="22"/>
          <w:szCs w:val="22"/>
        </w:rPr>
        <w:t xml:space="preserve"> Lees, of laat een deelnemer voorlezen, het slotwoord uit paragraaf 30.10 van de reader. Sluit de cursus af met erkenning van de lange weg die de groep heeft afgelegd — van de eerste nulmeting in deel 1 tot deze masterproef.</w:t>
      </w:r>
    </w:p>
    <w:p>
      <w:pPr>
        <w:spacing w:after="100"/>
      </w:pPr>
    </w:p>
    <w:p>
      <w:pPr>
        <w:pStyle w:val="Heading2"/>
        <w:spacing w:after="120" w:before="200"/>
      </w:pPr>
      <w:r>
        <w:rPr>
          <w:rFonts w:ascii="Georgia" w:cs="Georgia" w:eastAsia="Georgia" w:hAnsi="Georgia"/>
          <w:b/>
          <w:bCs/>
          <w:color w:val="2563A8"/>
          <w:sz w:val="28"/>
          <w:szCs w:val="28"/>
        </w:rPr>
        <w:t xml:space="preserve">Beoordelen</w:t>
      </w:r>
    </w:p>
    <w:p>
      <w:pPr>
        <w:spacing w:after="140" w:line="300"/>
      </w:pPr>
      <w:r>
        <w:rPr>
          <w:rFonts w:ascii="Calibri" w:cs="Calibri" w:eastAsia="Calibri" w:hAnsi="Calibri"/>
          <w:b w:val="false"/>
          <w:bCs w:val="false"/>
          <w:i w:val="false"/>
          <w:iCs w:val="false"/>
          <w:sz w:val="22"/>
          <w:szCs w:val="22"/>
        </w:rPr>
        <w:t xml:space="preserve">Gebruik de rubric uit paragraaf 30.8 van de reader. Net als bij de eerdere capstones wegen criterium 6 en 7 dubbel, met de aanvullende nuance bij criterium 6: oprechtheid richting Simone is hier een expliciet, apart te beoordelen element, niet alleen consistentie.</w:t>
      </w:r>
    </w:p>
    <w:p>
      <w:pPr>
        <w:spacing w:after="140" w:line="300"/>
      </w:pPr>
      <w:r>
        <w:rPr>
          <w:rFonts w:ascii="Calibri" w:cs="Calibri" w:eastAsia="Calibri" w:hAnsi="Calibri"/>
          <w:b w:val="false"/>
          <w:bCs w:val="false"/>
          <w:i w:val="false"/>
          <w:iCs w:val="false"/>
          <w:sz w:val="22"/>
          <w:szCs w:val="22"/>
        </w:rPr>
        <w:t xml:space="preserve">Geef bij elke deelnemer, naast het cijfer, minimaal twee concrete observaties: één sterk punt en één ontwikkelpunt voor de praktijk — dit is de laatste feedback die deze cursus geeft, en verdient zorgvuldigheid.</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Het volledige dossier (30.3 van de reader) uitgeprint voor elke deelnemer</w:t>
      </w:r>
    </w:p>
    <w:p>
      <w:pPr>
        <w:pStyle w:val="ListParagraph"/>
        <w:numPr>
          <w:ilvl w:val="0"/>
          <w:numId w:val="1"/>
        </w:numPr>
        <w:spacing w:after="80"/>
      </w:pPr>
      <w:r>
        <w:rPr>
          <w:rFonts w:ascii="Calibri" w:cs="Calibri" w:eastAsia="Calibri" w:hAnsi="Calibri"/>
          <w:sz w:val="22"/>
          <w:szCs w:val="22"/>
        </w:rPr>
        <w:t xml:space="preserve">Vier rolkaartjes per groepje van vijf, met de kernbelangen van elke rol</w:t>
      </w:r>
    </w:p>
    <w:p>
      <w:pPr>
        <w:pStyle w:val="ListParagraph"/>
        <w:numPr>
          <w:ilvl w:val="0"/>
          <w:numId w:val="1"/>
        </w:numPr>
        <w:spacing w:after="80"/>
      </w:pPr>
      <w:r>
        <w:rPr>
          <w:rFonts w:ascii="Calibri" w:cs="Calibri" w:eastAsia="Calibri" w:hAnsi="Calibri"/>
          <w:sz w:val="22"/>
          <w:szCs w:val="22"/>
        </w:rPr>
        <w:t xml:space="preserve">De rubric, uitgeprint, voor de docent en eventueel voor medebeoordelaars</w:t>
      </w:r>
    </w:p>
    <w:p>
      <w:pPr>
        <w:pStyle w:val="ListParagraph"/>
        <w:numPr>
          <w:ilvl w:val="0"/>
          <w:numId w:val="1"/>
        </w:numPr>
        <w:spacing w:after="80"/>
      </w:pPr>
      <w:r>
        <w:rPr>
          <w:rFonts w:ascii="Calibri" w:cs="Calibri" w:eastAsia="Calibri" w:hAnsi="Calibri"/>
          <w:sz w:val="22"/>
          <w:szCs w:val="22"/>
        </w:rPr>
        <w:t xml:space="preserve">Voldoende tijd tussen dagdeel A en B voor deelnemers om hun schriftelijke advies af te ronden en zich voor te bereiden op de verdediging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Na afloop:</w:t>
      </w:r>
      <w:r>
        <w:rPr>
          <w:rFonts w:ascii="Calibri" w:cs="Calibri" w:eastAsia="Calibri" w:hAnsi="Calibri"/>
          <w:b w:val="false"/>
          <w:bCs w:val="false"/>
          <w:i w:val="false"/>
          <w:iCs w:val="false"/>
          <w:sz w:val="22"/>
          <w:szCs w:val="22"/>
        </w:rPr>
        <w:t xml:space="preserve"> dit is het laatste deel van de cursus. Verzamel de complete adviesrapporten en de rubricbeoordelingen als afsluitend portfolio. Er is geen “volgend deel” meer aan te kondigen — de cursus is hiermee compleet, van deel 1 tot deel 30.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2026-08-17T11:22:46.574Z</dcterms:created>
  <dcterms:modified xsi:type="dcterms:W3CDTF">2026-08-17T11:22:46.574Z</dcterms:modified>
</cp:coreProperties>
</file>

<file path=docProps/custom.xml><?xml version="1.0" encoding="utf-8"?>
<Properties xmlns="http://schemas.openxmlformats.org/officeDocument/2006/custom-properties" xmlns:vt="http://schemas.openxmlformats.org/officeDocument/2006/docPropsVTypes"/>
</file>