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30 — De masterproef</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30 — De masterproef</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Deelnemersreader · Twee dagdelen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30.1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een complex, onvoorzien pensioendossier met meerdere gelijktijdige complicaties zelfstandig ontleden;</w:t>
      </w:r>
    </w:p>
    <w:p>
      <w:pPr>
        <w:pStyle w:val="ListParagraph"/>
        <w:numPr>
          <w:ilvl w:val="0"/>
          <w:numId w:val="1"/>
        </w:numPr>
        <w:spacing w:after="80"/>
      </w:pPr>
      <w:r>
        <w:rPr>
          <w:rFonts w:ascii="Calibri" w:cs="Calibri" w:eastAsia="Calibri" w:hAnsi="Calibri"/>
          <w:sz w:val="22"/>
          <w:szCs w:val="22"/>
        </w:rPr>
        <w:t xml:space="preserve">2. instrumenten uit alle drie de niveaus van deze cursus in samenhang toepassen;</w:t>
      </w:r>
    </w:p>
    <w:p>
      <w:pPr>
        <w:pStyle w:val="ListParagraph"/>
        <w:numPr>
          <w:ilvl w:val="0"/>
          <w:numId w:val="1"/>
        </w:numPr>
        <w:spacing w:after="80"/>
      </w:pPr>
      <w:r>
        <w:rPr>
          <w:rFonts w:ascii="Calibri" w:cs="Calibri" w:eastAsia="Calibri" w:hAnsi="Calibri"/>
          <w:sz w:val="22"/>
          <w:szCs w:val="22"/>
        </w:rPr>
        <w:t xml:space="preserve">3. prioriteiten stellen wanneer meerdere problemen tegelijk om aandacht vragen, met een verdedigbare volgorde;</w:t>
      </w:r>
    </w:p>
    <w:p>
      <w:pPr>
        <w:pStyle w:val="ListParagraph"/>
        <w:numPr>
          <w:ilvl w:val="0"/>
          <w:numId w:val="1"/>
        </w:numPr>
        <w:spacing w:after="80"/>
      </w:pPr>
      <w:r>
        <w:rPr>
          <w:rFonts w:ascii="Calibri" w:cs="Calibri" w:eastAsia="Calibri" w:hAnsi="Calibri"/>
          <w:sz w:val="22"/>
          <w:szCs w:val="22"/>
        </w:rPr>
        <w:t xml:space="preserve">4. een panel met uiteenlopende, deels tegengestelde belangen overtuigen van een samenhangend advies;</w:t>
      </w:r>
    </w:p>
    <w:p>
      <w:pPr>
        <w:pStyle w:val="ListParagraph"/>
        <w:numPr>
          <w:ilvl w:val="0"/>
          <w:numId w:val="1"/>
        </w:numPr>
        <w:spacing w:after="80"/>
      </w:pPr>
      <w:r>
        <w:rPr>
          <w:rFonts w:ascii="Calibri" w:cs="Calibri" w:eastAsia="Calibri" w:hAnsi="Calibri"/>
          <w:sz w:val="22"/>
          <w:szCs w:val="22"/>
        </w:rPr>
        <w:t xml:space="preserve">5. reflecteren op je eigen ontwikkeling door de dertig delen van deze cursus heen.</w:t>
      </w:r>
    </w:p>
    <w:p>
      <w:pPr>
        <w:spacing w:after="100"/>
      </w:pPr>
    </w:p>
    <w:p>
      <w:pPr>
        <w:pStyle w:val="Heading2"/>
        <w:spacing w:after="120" w:before="200"/>
      </w:pPr>
      <w:r>
        <w:rPr>
          <w:rFonts w:ascii="Georgia" w:cs="Georgia" w:eastAsia="Georgia" w:hAnsi="Georgia"/>
          <w:b/>
          <w:bCs/>
          <w:color w:val="2563A8"/>
          <w:sz w:val="28"/>
          <w:szCs w:val="28"/>
        </w:rPr>
        <w:t xml:space="preserve">30.2 Waar we staan</w:t>
      </w:r>
    </w:p>
    <w:p>
      <w:pPr>
        <w:spacing w:after="140" w:line="300"/>
      </w:pPr>
      <w:r>
        <w:rPr>
          <w:rFonts w:ascii="Calibri" w:cs="Calibri" w:eastAsia="Calibri" w:hAnsi="Calibri"/>
          <w:b w:val="false"/>
          <w:bCs w:val="false"/>
          <w:i w:val="false"/>
          <w:iCs w:val="false"/>
          <w:sz w:val="22"/>
          <w:szCs w:val="22"/>
        </w:rPr>
        <w:t xml:space="preserve">Zes jaar zijn verstreken sinds Van Doorn Techniek zijn transitie afrondde (deel 15, 21). Bpf T&amp;I is ingevaren, Delta Chemie heeft een besluit genomen over zijn voortbestaan. De pensioenwereld is, zoals deze cursus vanaf deel 1 voorspelde, niet tot rust gekomen na de Wtp-transitie — nieuwe gebeurtenissen roepen nieuwe vragen op, en oude beslissingen worden opnieuw getoetst door de tijd.</w:t>
      </w:r>
    </w:p>
    <w:p>
      <w:pPr>
        <w:spacing w:after="140" w:line="300"/>
      </w:pPr>
      <w:r>
        <w:rPr>
          <w:rFonts w:ascii="Calibri" w:cs="Calibri" w:eastAsia="Calibri" w:hAnsi="Calibri"/>
          <w:b w:val="false"/>
          <w:bCs w:val="false"/>
          <w:i w:val="false"/>
          <w:iCs w:val="false"/>
          <w:sz w:val="22"/>
          <w:szCs w:val="22"/>
        </w:rPr>
        <w:t xml:space="preserve">Dit is het moment waarop deze cursus je voor het laatst, en het zwaarst, op de proef stelt.</w:t>
      </w:r>
    </w:p>
    <w:p>
      <w:pPr>
        <w:spacing w:after="100"/>
      </w:pPr>
    </w:p>
    <w:p>
      <w:pPr>
        <w:pStyle w:val="Heading2"/>
        <w:spacing w:after="120" w:before="200"/>
      </w:pPr>
      <w:r>
        <w:rPr>
          <w:rFonts w:ascii="Georgia" w:cs="Georgia" w:eastAsia="Georgia" w:hAnsi="Georgia"/>
          <w:b/>
          <w:bCs/>
          <w:color w:val="2563A8"/>
          <w:sz w:val="28"/>
          <w:szCs w:val="28"/>
        </w:rPr>
        <w:t xml:space="preserve">DAGDEEL A — Het dossier</w:t>
      </w:r>
    </w:p>
    <w:p>
      <w:pPr>
        <w:pStyle w:val="Heading2"/>
        <w:spacing w:after="120" w:before="200"/>
      </w:pPr>
      <w:r>
        <w:rPr>
          <w:rFonts w:ascii="Georgia" w:cs="Georgia" w:eastAsia="Georgia" w:hAnsi="Georgia"/>
          <w:b/>
          <w:bCs/>
          <w:color w:val="2563A8"/>
          <w:sz w:val="28"/>
          <w:szCs w:val="28"/>
        </w:rPr>
        <w:t xml:space="preserve">30.3 De situatie: Van Doorn Techniek, 2033</w:t>
      </w:r>
    </w:p>
    <w:p>
      <w:pPr>
        <w:spacing w:after="140" w:line="300"/>
      </w:pPr>
      <w:r>
        <w:rPr>
          <w:rFonts w:ascii="Calibri" w:cs="Calibri" w:eastAsia="Calibri" w:hAnsi="Calibri"/>
          <w:b w:val="false"/>
          <w:bCs w:val="false"/>
          <w:i w:val="false"/>
          <w:iCs w:val="false"/>
          <w:sz w:val="22"/>
          <w:szCs w:val="22"/>
        </w:rPr>
        <w:t xml:space="preserve">Van Doorn Techniek is gegroeid naar 140 medewerkers en heeft twee jaar geleden Bergsma Installaties overgenomen — een bedrijf van 35 medewerkers met een eigen, vlakke premieregeling sinds 2024. Ferdi van Doorn, inmiddels 61, overweegt het bedrijf over vijf jaar te verkopen en wil zijn eigen zaken op orde hebben. Vier gebeurtenissen komen nu, min of meer tegelijk, samen.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Gebeurtenis 1 — een discriminatieklacht.</w:t>
      </w:r>
      <w:r>
        <w:rPr>
          <w:rFonts w:ascii="Calibri" w:cs="Calibri" w:eastAsia="Calibri" w:hAnsi="Calibri"/>
          <w:b w:val="false"/>
          <w:bCs w:val="false"/>
          <w:i w:val="false"/>
          <w:iCs w:val="false"/>
          <w:sz w:val="22"/>
          <w:szCs w:val="22"/>
        </w:rPr>
        <w:t xml:space="preserve"> Een medewerker uit de oorspronkelijke, gesloten groep onder eerbiedigende werking (deel 6) — laten we haar Simone noemen, 34 jaar, in 2027 nog te jong om zelf profijt te hebben van de bescherming die de eerbiedigende werking beoogde — dient een klacht in. Zij stelt dat haar premie-inleg (nog altijd in de oude staffel, inmiddels op 14%) structureel lager is dan die van een 34-jarige collega uit het overgenomen Bergsma-bedrijf, die al sinds 2024 een vlakke premie van 16% ontvangt. Zij beroept zich op leeftijdsdiscriminatie.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Gebeurtenis 2 — een datakwaliteitsprobleem, ontdekt bij de overname-due diligence.</w:t>
      </w:r>
      <w:r>
        <w:rPr>
          <w:rFonts w:ascii="Calibri" w:cs="Calibri" w:eastAsia="Calibri" w:hAnsi="Calibri"/>
          <w:b w:val="false"/>
          <w:bCs w:val="false"/>
          <w:i w:val="false"/>
          <w:iCs w:val="false"/>
          <w:sz w:val="22"/>
          <w:szCs w:val="22"/>
        </w:rPr>
        <w:t xml:space="preserve"> Bij het samenvoegen van de personeelsadministraties van Van Doorn en Bergsma ontdekt de nieuwe, gecombineerde HR-afdeling dat een deel van de salarismutaties tussen 2028 en 2031 niet correct is doorgevoerd naar Meridiaan. Voor circa twaalf medewerkers, onder wie Karel Sanders, is de premiegrondslag in die jaren mogelijk onjuist geweest.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Gebeurtenis 3 — Karels pensionering.</w:t>
      </w:r>
      <w:r>
        <w:rPr>
          <w:rFonts w:ascii="Calibri" w:cs="Calibri" w:eastAsia="Calibri" w:hAnsi="Calibri"/>
          <w:b w:val="false"/>
          <w:bCs w:val="false"/>
          <w:i w:val="false"/>
          <w:iCs w:val="false"/>
          <w:sz w:val="22"/>
          <w:szCs w:val="22"/>
        </w:rPr>
        <w:t xml:space="preserve"> Karel Sanders, nu 65, gaat over acht maanden met pensioen. Zijn dossier moet worden afgewikkeld: de keuze tussen een vaste en variabele uitkering, de uitruil naar partnerpensioen voor Marleen, en — na gebeurtenis 2 — mogelijk een correctie op zijn opgebouwde kapitaal.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Gebeurtenis 4 — Ferdi’s eigen positie.</w:t>
      </w:r>
      <w:r>
        <w:rPr>
          <w:rFonts w:ascii="Calibri" w:cs="Calibri" w:eastAsia="Calibri" w:hAnsi="Calibri"/>
          <w:b w:val="false"/>
          <w:bCs w:val="false"/>
          <w:i w:val="false"/>
          <w:iCs w:val="false"/>
          <w:sz w:val="22"/>
          <w:szCs w:val="22"/>
        </w:rPr>
        <w:t xml:space="preserve"> Ferdi wil, met het oog op een toekomstige bedrijfsverkoop, zijn eigen ODV-dossier (deel 26) op orde hebben en vraagt zich af of de partnerbescherming destijds correct is geregeld.</w:t>
      </w:r>
    </w:p>
    <w:p>
      <w:pPr>
        <w:spacing w:after="100"/>
      </w:pPr>
    </w:p>
    <w:p>
      <w:pPr>
        <w:pStyle w:val="Heading2"/>
        <w:spacing w:after="120" w:before="200"/>
      </w:pPr>
      <w:r>
        <w:rPr>
          <w:rFonts w:ascii="Georgia" w:cs="Georgia" w:eastAsia="Georgia" w:hAnsi="Georgia"/>
          <w:b/>
          <w:bCs/>
          <w:color w:val="2563A8"/>
          <w:sz w:val="28"/>
          <w:szCs w:val="28"/>
        </w:rPr>
        <w:t xml:space="preserve">30.4 De opdracht</w:t>
      </w:r>
    </w:p>
    <w:p>
      <w:pPr>
        <w:spacing w:after="140" w:line="300"/>
      </w:pPr>
      <w:r>
        <w:rPr>
          <w:rFonts w:ascii="Calibri" w:cs="Calibri" w:eastAsia="Calibri" w:hAnsi="Calibri"/>
          <w:b w:val="false"/>
          <w:bCs w:val="false"/>
          <w:i w:val="false"/>
          <w:iCs w:val="false"/>
          <w:sz w:val="22"/>
          <w:szCs w:val="22"/>
        </w:rPr>
        <w:t xml:space="preserve">Je bent de adviseur die dit hele dossier krijgt voorgelegd. Lever een schriftelijk advies van maximaal tien pagina’s, en verdedig het in een boardsimulatie van vijfenveertig minuten voor een panel van vier rollen (30.7).</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advies moet de volgende onderdelen bevatten, in een door jou te bepalen, verdedigbare volgorde:</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1. Prioritering. Welke van de vier gebeurtenissen behandel je eerst, en waarom? Onderbouw met urgentie, risico en onderlinge afhankelijkheid.</w:t>
      </w:r>
    </w:p>
    <w:p>
      <w:pPr>
        <w:pStyle w:val="ListParagraph"/>
        <w:numPr>
          <w:ilvl w:val="0"/>
          <w:numId w:val="1"/>
        </w:numPr>
        <w:spacing w:after="80"/>
      </w:pPr>
      <w:r>
        <w:rPr>
          <w:rFonts w:ascii="Calibri" w:cs="Calibri" w:eastAsia="Calibri" w:hAnsi="Calibri"/>
          <w:sz w:val="22"/>
          <w:szCs w:val="22"/>
        </w:rPr>
        <w:t xml:space="preserve">2. De discriminatieklacht (Simone). Pas de driestappentoets (deel 22, 23) toe. Is de eerbiedigende werking hier nog houdbaar, gezien de cohortvermenging door de Bergsma-overname (deel 23, paragraaf 23.7)? Wat is je advies aan Van Doorn?</w:t>
      </w:r>
    </w:p>
    <w:p>
      <w:pPr>
        <w:pStyle w:val="ListParagraph"/>
        <w:numPr>
          <w:ilvl w:val="0"/>
          <w:numId w:val="1"/>
        </w:numPr>
        <w:spacing w:after="80"/>
      </w:pPr>
      <w:r>
        <w:rPr>
          <w:rFonts w:ascii="Calibri" w:cs="Calibri" w:eastAsia="Calibri" w:hAnsi="Calibri"/>
          <w:sz w:val="22"/>
          <w:szCs w:val="22"/>
        </w:rPr>
        <w:t xml:space="preserve">3. Het datakwaliteitsprobleem. Diagnosticeer de fout met de vier dimensies (deel 19). Wat is de te volgen correctieprocedure voor de twaalf betrokken medewerkers, en wie is verantwoordelijk voor de ontstane situatie (deel 2, 14, 19)?</w:t>
      </w:r>
    </w:p>
    <w:p>
      <w:pPr>
        <w:pStyle w:val="ListParagraph"/>
        <w:numPr>
          <w:ilvl w:val="0"/>
          <w:numId w:val="1"/>
        </w:numPr>
        <w:spacing w:after="80"/>
      </w:pPr>
      <w:r>
        <w:rPr>
          <w:rFonts w:ascii="Calibri" w:cs="Calibri" w:eastAsia="Calibri" w:hAnsi="Calibri"/>
          <w:sz w:val="22"/>
          <w:szCs w:val="22"/>
        </w:rPr>
        <w:t xml:space="preserve">4. Karels afwikkeling. Reken de mogelijke correctie op zijn kapitaal door (voortbouwend op de rekenmethodiek uit deel 11 en 15). Adviseer over vast/variabel (deel 13) en de uitruil naar partnerpensioen (deel 8, 9), met inachtneming van de mogelijke correctie.</w:t>
      </w:r>
    </w:p>
    <w:p>
      <w:pPr>
        <w:pStyle w:val="ListParagraph"/>
        <w:numPr>
          <w:ilvl w:val="0"/>
          <w:numId w:val="1"/>
        </w:numPr>
        <w:spacing w:after="80"/>
      </w:pPr>
      <w:r>
        <w:rPr>
          <w:rFonts w:ascii="Calibri" w:cs="Calibri" w:eastAsia="Calibri" w:hAnsi="Calibri"/>
          <w:sz w:val="22"/>
          <w:szCs w:val="22"/>
        </w:rPr>
        <w:t xml:space="preserve">5. Ferdi’s ODV-dossier. Controleer de partnerbescherming (deel 26) en adviseer over de te ondernemen stappen vóór een eventuele bedrijfsverkoop.</w:t>
      </w:r>
    </w:p>
    <w:p>
      <w:pPr>
        <w:pStyle w:val="ListParagraph"/>
        <w:numPr>
          <w:ilvl w:val="0"/>
          <w:numId w:val="1"/>
        </w:numPr>
        <w:spacing w:after="80"/>
      </w:pPr>
      <w:r>
        <w:rPr>
          <w:rFonts w:ascii="Calibri" w:cs="Calibri" w:eastAsia="Calibri" w:hAnsi="Calibri"/>
          <w:sz w:val="22"/>
          <w:szCs w:val="22"/>
        </w:rPr>
        <w:t xml:space="preserve">6. Samenhang. Expliciete kruisverwijzingen: hoe raakt de discriminatieklacht (2) de geloofwaardigheid van Karels dossier (4)? Hoe raakt het datakwaliteitsprobleem (3) de onderbouwing die je voor de discriminatieklacht nodig hebt?</w:t>
      </w:r>
    </w:p>
    <w:p>
      <w:pPr>
        <w:pStyle w:val="ListParagraph"/>
        <w:numPr>
          <w:ilvl w:val="0"/>
          <w:numId w:val="1"/>
        </w:numPr>
        <w:spacing w:after="80"/>
      </w:pPr>
      <w:r>
        <w:rPr>
          <w:rFonts w:ascii="Calibri" w:cs="Calibri" w:eastAsia="Calibri" w:hAnsi="Calibri"/>
          <w:sz w:val="22"/>
          <w:szCs w:val="22"/>
        </w:rPr>
        <w:t xml:space="preserve">7. Openstaande punten. Wat weet je nog niet, en hoe kom je erachter?</w:t>
      </w:r>
    </w:p>
    <w:p>
      <w:pPr>
        <w:spacing w:after="100"/>
      </w:pPr>
    </w:p>
    <w:p>
      <w:pPr>
        <w:pStyle w:val="Heading2"/>
        <w:spacing w:after="120" w:before="200"/>
      </w:pPr>
      <w:r>
        <w:rPr>
          <w:rFonts w:ascii="Georgia" w:cs="Georgia" w:eastAsia="Georgia" w:hAnsi="Georgia"/>
          <w:b/>
          <w:bCs/>
          <w:color w:val="2563A8"/>
          <w:sz w:val="28"/>
          <w:szCs w:val="28"/>
        </w:rPr>
        <w:t xml:space="preserve">30.5 Aanwijzingen voor de aanpak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Prioritering is geen formaliteit — het is de eerste test.</w:t>
      </w:r>
      <w:r>
        <w:rPr>
          <w:rFonts w:ascii="Calibri" w:cs="Calibri" w:eastAsia="Calibri" w:hAnsi="Calibri"/>
          <w:b w:val="false"/>
          <w:bCs w:val="false"/>
          <w:i w:val="false"/>
          <w:iCs w:val="false"/>
          <w:sz w:val="22"/>
          <w:szCs w:val="22"/>
        </w:rPr>
        <w:t xml:space="preserve"> Er is geen enkel objectief juist antwoord, maar wel een aantal overwegingen die je expliciet moet wegen: Karels pensionering heeft een harde deadline (acht maanden); de discriminatieklacht heeft een eigen juridisch tempo maar raakt de fundamenten van de hele gesloten-groep-constructie; het datakwaliteitsprobleem is een lopende schending die met terugwerkende kracht groter wordt naarmate je langer wacht.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discriminatieklacht is de zwaarste juridische opgave.</w:t>
      </w:r>
      <w:r>
        <w:rPr>
          <w:rFonts w:ascii="Calibri" w:cs="Calibri" w:eastAsia="Calibri" w:hAnsi="Calibri"/>
          <w:b w:val="false"/>
          <w:bCs w:val="false"/>
          <w:i w:val="false"/>
          <w:iCs w:val="false"/>
          <w:sz w:val="22"/>
          <w:szCs w:val="22"/>
        </w:rPr>
        <w:t xml:space="preserve"> Terug naar deel 23: de eerbiedigende werking was gerechtvaardigd op grond van continuïteit en bescherming van deelnemers met weinig aanpassingstijd. Simone, die op het omzettingsmoment nog jong was, past minder goed bij die rechtvaardiging (deel 23, paragraaf 23.8, het Yasmin-scenario — nu werkelijkheid geworden). De cohortvermenging door de Bergsma-overname (deel 23, paragraaf 23.7) heeft een derde vergelijkingsgroep toegevoegd die de zaak van Simone juridisch sterker maakt: er is nu een tastbare, concrete collega met een hogere premie, geen abstracte vergelijking.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datakwaliteitsprobleem is geen bijzaak.</w:t>
      </w:r>
      <w:r>
        <w:rPr>
          <w:rFonts w:ascii="Calibri" w:cs="Calibri" w:eastAsia="Calibri" w:hAnsi="Calibri"/>
          <w:b w:val="false"/>
          <w:bCs w:val="false"/>
          <w:i w:val="false"/>
          <w:iCs w:val="false"/>
          <w:sz w:val="22"/>
          <w:szCs w:val="22"/>
        </w:rPr>
        <w:t xml:space="preserve"> Het raakt niet alleen Karel maar ook de betrouwbaarheid van elk cijfer dat je in dit hele dossier gebruikt. Vraag jezelf af: kun je de discriminatieklacht van Simone wel goed beoordelen als je niet zeker weet of háár gegevens correct zijn verwerkt?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Karel en Ferdi zijn geen aparte opgaven — zij zijn waar de vorige zesentwintig delen samenkomen op het niveau van twee individuen.</w:t>
      </w:r>
      <w:r>
        <w:rPr>
          <w:rFonts w:ascii="Calibri" w:cs="Calibri" w:eastAsia="Calibri" w:hAnsi="Calibri"/>
          <w:b w:val="false"/>
          <w:bCs w:val="false"/>
          <w:i w:val="false"/>
          <w:iCs w:val="false"/>
          <w:sz w:val="22"/>
          <w:szCs w:val="22"/>
        </w:rPr>
        <w:t xml:space="preserve"> Gebruik voor Karel expliciet de rekenmethodiek uit deel 11 en 15, het afwegingskader uit deel 13, en de nabestaandenlogica uit deel 8 en 9. Gebruik voor Ferdi expliciet de ODV-mechaniek en de partnerbeschermingseis uit deel 26.</w:t>
      </w:r>
    </w:p>
    <w:p>
      <w:pPr>
        <w:spacing w:after="100"/>
      </w:pPr>
    </w:p>
    <w:p>
      <w:pPr>
        <w:pStyle w:val="Heading2"/>
        <w:spacing w:after="120" w:before="200"/>
      </w:pPr>
      <w:r>
        <w:rPr>
          <w:rFonts w:ascii="Georgia" w:cs="Georgia" w:eastAsia="Georgia" w:hAnsi="Georgia"/>
          <w:b/>
          <w:bCs/>
          <w:color w:val="2563A8"/>
          <w:sz w:val="28"/>
          <w:szCs w:val="28"/>
        </w:rPr>
        <w:t xml:space="preserve">DAGDEEL B — De boardsimulatie</w:t>
      </w:r>
    </w:p>
    <w:p>
      <w:pPr>
        <w:pStyle w:val="Heading2"/>
        <w:spacing w:after="120" w:before="200"/>
      </w:pPr>
      <w:r>
        <w:rPr>
          <w:rFonts w:ascii="Georgia" w:cs="Georgia" w:eastAsia="Georgia" w:hAnsi="Georgia"/>
          <w:b/>
          <w:bCs/>
          <w:color w:val="2563A8"/>
          <w:sz w:val="28"/>
          <w:szCs w:val="28"/>
        </w:rPr>
        <w:t xml:space="preserve">30.6 Voorbereiding op de verdediging</w:t>
      </w:r>
    </w:p>
    <w:p>
      <w:pPr>
        <w:spacing w:after="140" w:line="300"/>
      </w:pPr>
      <w:r>
        <w:rPr>
          <w:rFonts w:ascii="Calibri" w:cs="Calibri" w:eastAsia="Calibri" w:hAnsi="Calibri"/>
          <w:b w:val="false"/>
          <w:bCs w:val="false"/>
          <w:i w:val="false"/>
          <w:iCs w:val="false"/>
          <w:sz w:val="22"/>
          <w:szCs w:val="22"/>
        </w:rPr>
        <w:t xml:space="preserve">Na de schriftelijke uitwerking in dagdeel A volgt in dagdeel B de mondelinge verdediging. Bereid je voor door voor elke rol (30.7) de meest waarschijnlijke, scherpste vraag te formuleren en een antwoord klaar te hebben — niet uitgeschreven, maar wel doordacht.</w:t>
      </w:r>
    </w:p>
    <w:p>
      <w:pPr>
        <w:pStyle w:val="Heading2"/>
        <w:spacing w:after="120" w:before="200"/>
      </w:pPr>
      <w:r>
        <w:rPr>
          <w:rFonts w:ascii="Georgia" w:cs="Georgia" w:eastAsia="Georgia" w:hAnsi="Georgia"/>
          <w:b/>
          <w:bCs/>
          <w:color w:val="2563A8"/>
          <w:sz w:val="28"/>
          <w:szCs w:val="28"/>
        </w:rPr>
        <w:t xml:space="preserve">30.7 De vier rollen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Ferdi van Doorn (directeur, 61, richting bedrijfsverkoop).</w:t>
      </w:r>
      <w:r>
        <w:rPr>
          <w:rFonts w:ascii="Calibri" w:cs="Calibri" w:eastAsia="Calibri" w:hAnsi="Calibri"/>
          <w:b w:val="false"/>
          <w:bCs w:val="false"/>
          <w:i w:val="false"/>
          <w:iCs w:val="false"/>
          <w:sz w:val="22"/>
          <w:szCs w:val="22"/>
        </w:rPr>
        <w:t xml:space="preserve"> Wil weten: wat kost dit alles, hoe snel kan het worden opgelost, en is zijn eigen dossier op orde vóór een verkoop? Stelt vragen vanuit tijdsdruk en financieel belang.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Simone (de klaagster, via een vertegenwoordiger of zelf).</w:t>
      </w:r>
      <w:r>
        <w:rPr>
          <w:rFonts w:ascii="Calibri" w:cs="Calibri" w:eastAsia="Calibri" w:hAnsi="Calibri"/>
          <w:b w:val="false"/>
          <w:bCs w:val="false"/>
          <w:i w:val="false"/>
          <w:iCs w:val="false"/>
          <w:sz w:val="22"/>
          <w:szCs w:val="22"/>
        </w:rPr>
        <w:t xml:space="preserve"> Wil weten: wordt haar klacht serieus genomen, of wordt zij afgescheept met een juridisch technisch verhaal? Stelt vragen vanuit een gevoel van onrecht, met scherpe aandacht voor of het advies haar situatie oprecht erkent.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Karel Sanders (65, acht maanden voor pensionering).</w:t>
      </w:r>
      <w:r>
        <w:rPr>
          <w:rFonts w:ascii="Calibri" w:cs="Calibri" w:eastAsia="Calibri" w:hAnsi="Calibri"/>
          <w:b w:val="false"/>
          <w:bCs w:val="false"/>
          <w:i w:val="false"/>
          <w:iCs w:val="false"/>
          <w:sz w:val="22"/>
          <w:szCs w:val="22"/>
        </w:rPr>
        <w:t xml:space="preserve"> Wil weten: wat betekent dit voor zijn pensioen, en kan hij nog op tijd met pensioen zoals gepland? Stelt vragen vanuit persoonlijke onzekerheid op een cruciaal levensmoment.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Een toezichts-/kwaliteitsrol (naar keuze: een fictieve DNB/AFM-achtige rol, of een compliance officer van Meridiaan).</w:t>
      </w:r>
      <w:r>
        <w:rPr>
          <w:rFonts w:ascii="Calibri" w:cs="Calibri" w:eastAsia="Calibri" w:hAnsi="Calibri"/>
          <w:b w:val="false"/>
          <w:bCs w:val="false"/>
          <w:i w:val="false"/>
          <w:iCs w:val="false"/>
          <w:sz w:val="22"/>
          <w:szCs w:val="22"/>
        </w:rPr>
        <w:t xml:space="preserve"> Wil weten: is de datakwaliteitsfout structureel of incidenteel, is er een patroon van onzorgvuldigheid, en welke garanties zijn er dat dit niet opnieuw gebeurt? Stelt vragen vanuit systeemverantwoordelijkheid.</w:t>
      </w:r>
    </w:p>
    <w:p>
      <w:pPr>
        <w:spacing w:after="140" w:line="300"/>
      </w:pPr>
      <w:r>
        <w:rPr>
          <w:rFonts w:ascii="Calibri" w:cs="Calibri" w:eastAsia="Calibri" w:hAnsi="Calibri"/>
          <w:b w:val="false"/>
          <w:bCs w:val="false"/>
          <w:i w:val="false"/>
          <w:iCs w:val="false"/>
          <w:sz w:val="22"/>
          <w:szCs w:val="22"/>
        </w:rPr>
        <w:t xml:space="preserve">Elke rol krijgt ruim tien minuten. Je kent de rollen vooraf, niet de exacte vragen.</w:t>
      </w:r>
    </w:p>
    <w:p>
      <w:pPr>
        <w:spacing w:after="100"/>
      </w:pPr>
    </w:p>
    <w:p>
      <w:pPr>
        <w:pStyle w:val="Heading2"/>
        <w:spacing w:after="120" w:before="200"/>
      </w:pPr>
      <w:r>
        <w:rPr>
          <w:rFonts w:ascii="Georgia" w:cs="Georgia" w:eastAsia="Georgia" w:hAnsi="Georgia"/>
          <w:b/>
          <w:bCs/>
          <w:color w:val="2563A8"/>
          <w:sz w:val="28"/>
          <w:szCs w:val="28"/>
        </w:rPr>
        <w:t xml:space="preserve">30.8 Beoordelingsrubric</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Criterium</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Onvoldoende</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Voldoende</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Goed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 Prioritering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Geen expliciete volgorde of onderbouwing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Volgorde met summiere onderbouwing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Volgorde met expliciete afweging van urgentie, risico en afhankelijkheid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 Discriminatieklacht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Driestappentoets ontbreekt of is oppervlakkig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Toets correct toegepast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Toets toegepast mét de cohortvermenging- en houdbaarheidsanalyse uit deel 23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 Datakwaliteit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Probleem niet gediagnosticeerd met de vier dimensies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Correct gediagnosticeerd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Gediagnosticeerd én gekoppeld aan de impact op de andere drie gebeurtenissen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 Karel en Ferdi</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Behandeld als losse, technische opgaven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Correct individueel uitgewerkt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Uitgewerkt mét expliciete erkenning van de onderlinge samenhang met de rest van het dossier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5. Integratie (onderdeel 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Geen kruisverwijzingen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Enkele kruisverwijzingen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Kruisverwijzingen die het advies daadwerkelijk anders maken dan vier losse deeladviezen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6. Verdediging: register vs. verhaal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Wisselend verhaal per rol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Consistent verhaal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Consistent verhaal, met passend detailniveau en toon per rol — inclusief oprechte erkenning richting Simone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7. Eerlijkheid over onzekerheid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Suggereert volledige zekerheid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Benoemt open punten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Benoemt open punten mét concreet vervolgpad, ook onder druk van Ferdi’s tijdsdruk</w:t>
            </w:r>
          </w:p>
        </w:tc>
      </w:tr>
    </w:tbl>
    <w:p>
      <w:pPr>
        <w:spacing w:after="140" w:line="300"/>
      </w:pPr>
      <w:r>
        <w:rPr>
          <w:rFonts w:ascii="Calibri" w:cs="Calibri" w:eastAsia="Calibri" w:hAnsi="Calibri"/>
          <w:b w:val="false"/>
          <w:bCs w:val="false"/>
          <w:i w:val="false"/>
          <w:iCs w:val="false"/>
          <w:sz w:val="22"/>
          <w:szCs w:val="22"/>
        </w:rPr>
        <w:t xml:space="preserve">Zoals in de capstones van deel 10 en 21 wegen criterium 6 en 7 dubbel. Bij deze masterproef komt daar een extra nuance bij: criterium 6 vraagt nu niet alleen consistentie maar ook </w:t>
      </w:r>
      <w:r>
        <w:rPr>
          <w:rFonts w:ascii="Calibri" w:cs="Calibri" w:eastAsia="Calibri" w:hAnsi="Calibri"/>
          <w:b/>
          <w:bCs/>
          <w:i w:val="false"/>
          <w:iCs w:val="false"/>
          <w:sz w:val="22"/>
          <w:szCs w:val="22"/>
        </w:rPr>
        <w:t xml:space="preserve">oprechtheid</w:t>
      </w:r>
      <w:r>
        <w:rPr>
          <w:rFonts w:ascii="Calibri" w:cs="Calibri" w:eastAsia="Calibri" w:hAnsi="Calibri"/>
          <w:b w:val="false"/>
          <w:bCs w:val="false"/>
          <w:i w:val="false"/>
          <w:iCs w:val="false"/>
          <w:sz w:val="22"/>
          <w:szCs w:val="22"/>
        </w:rPr>
        <w:t xml:space="preserve"> — Simone’s klacht mag niet worden weggewuifd met juridisch jargon, ook al is het juridisch antwoord genuanceerd.</w:t>
      </w:r>
    </w:p>
    <w:p>
      <w:pPr>
        <w:spacing w:after="100"/>
      </w:pPr>
    </w:p>
    <w:p>
      <w:pPr>
        <w:pStyle w:val="Heading2"/>
        <w:spacing w:after="120" w:before="200"/>
      </w:pPr>
      <w:r>
        <w:rPr>
          <w:rFonts w:ascii="Georgia" w:cs="Georgia" w:eastAsia="Georgia" w:hAnsi="Georgia"/>
          <w:b/>
          <w:bCs/>
          <w:color w:val="2563A8"/>
          <w:sz w:val="28"/>
          <w:szCs w:val="28"/>
        </w:rPr>
        <w:t xml:space="preserve">30.9 Terugblik op de hele cursus</w:t>
      </w:r>
    </w:p>
    <w:p>
      <w:pPr>
        <w:spacing w:after="140" w:line="300"/>
      </w:pPr>
      <w:r>
        <w:rPr>
          <w:rFonts w:ascii="Calibri" w:cs="Calibri" w:eastAsia="Calibri" w:hAnsi="Calibri"/>
          <w:b w:val="false"/>
          <w:bCs w:val="false"/>
          <w:i w:val="false"/>
          <w:iCs w:val="false"/>
          <w:sz w:val="22"/>
          <w:szCs w:val="22"/>
        </w:rPr>
        <w:t xml:space="preserve">Bij de afsluiting van de verdediging, reflecteer kort op de volgende vraag: welk instrument uit welk deel van deze cursus — van het drieluik in deel 1 tot de driestappentoets in deel 22 — bleek in dit dossier het meest onmisbaar, en waarom?</w:t>
      </w:r>
    </w:p>
    <w:p>
      <w:pPr>
        <w:spacing w:after="140" w:line="300"/>
      </w:pPr>
      <w:r>
        <w:rPr>
          <w:rFonts w:ascii="Calibri" w:cs="Calibri" w:eastAsia="Calibri" w:hAnsi="Calibri"/>
          <w:b w:val="false"/>
          <w:bCs w:val="false"/>
          <w:i w:val="false"/>
          <w:iCs w:val="false"/>
          <w:sz w:val="22"/>
          <w:szCs w:val="22"/>
        </w:rPr>
        <w:t xml:space="preserve">Er is geen vast goed antwoord. Wat wel telt: dat je kunt aanwijzen wélk instrument, en waarom — een laatste bewijs dat de dertig delen van deze cursus niet dertig losse onderwerpen waren, maar één samenhangende gereedschapskist.</w:t>
      </w:r>
    </w:p>
    <w:p>
      <w:pPr>
        <w:spacing w:after="100"/>
      </w:pPr>
    </w:p>
    <w:p>
      <w:pPr>
        <w:pStyle w:val="Heading2"/>
        <w:spacing w:after="120" w:before="200"/>
      </w:pPr>
      <w:r>
        <w:rPr>
          <w:rFonts w:ascii="Georgia" w:cs="Georgia" w:eastAsia="Georgia" w:hAnsi="Georgia"/>
          <w:b/>
          <w:bCs/>
          <w:color w:val="2563A8"/>
          <w:sz w:val="28"/>
          <w:szCs w:val="28"/>
        </w:rPr>
        <w:t xml:space="preserve">30.10 Slotwoord</w:t>
      </w:r>
    </w:p>
    <w:p>
      <w:pPr>
        <w:spacing w:after="140" w:line="300"/>
      </w:pPr>
      <w:r>
        <w:rPr>
          <w:rFonts w:ascii="Calibri" w:cs="Calibri" w:eastAsia="Calibri" w:hAnsi="Calibri"/>
          <w:b w:val="false"/>
          <w:bCs w:val="false"/>
          <w:i w:val="false"/>
          <w:iCs w:val="false"/>
          <w:sz w:val="22"/>
          <w:szCs w:val="22"/>
        </w:rPr>
        <w:t xml:space="preserve">Deze cursus begon in deel 1 met een vraag die simpel klonk en dat nooit was: is deze regeling Wtp-conform, en zo nee, op welke grond mag zij dan nog bestaan? Dertig delen later is duidelijk geworden dat achter die ene vraag een heel vak schuilgaat — fiscaal, actuarieel, juridisch, communicatief, organisatorisch — en dat geen twee dossiers ooit precies hetzelfde zijn.</w:t>
      </w:r>
    </w:p>
    <w:p>
      <w:pPr>
        <w:spacing w:after="140" w:line="300"/>
      </w:pPr>
      <w:r>
        <w:rPr>
          <w:rFonts w:ascii="Calibri" w:cs="Calibri" w:eastAsia="Calibri" w:hAnsi="Calibri"/>
          <w:b w:val="false"/>
          <w:bCs w:val="false"/>
          <w:i w:val="false"/>
          <w:iCs w:val="false"/>
          <w:sz w:val="22"/>
          <w:szCs w:val="22"/>
        </w:rPr>
        <w:t xml:space="preserve">Wat blijft, is de discipline: diagnosticeer zorgvuldig, reken concreet, wees eerlijk over wat je niet weet, en vertel eenzelfde verhaal aan iedereen die er recht op heeft — de directeur, de deelnemer, de toezichthouder, en de collega die zich onrechtvaardig behandeld voelt. Dat is, uiteindelijk, wat deze cursus je heeft willen leren.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2026-08-17T11:22:46.420Z</dcterms:created>
  <dcterms:modified xsi:type="dcterms:W3CDTF">2026-08-17T11:22:46.420Z</dcterms:modified>
</cp:coreProperties>
</file>

<file path=docProps/custom.xml><?xml version="1.0" encoding="utf-8"?>
<Properties xmlns="http://schemas.openxmlformats.org/officeDocument/2006/custom-properties" xmlns:vt="http://schemas.openxmlformats.org/officeDocument/2006/docPropsVTypes"/>
</file>