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Werkboek — Deel 30 — Werkboek</w:t>
      </w:r>
    </w:p>
    <w:p>
      <w:pPr>
        <w:spacing w:after="300"/>
      </w:pPr>
      <w:r>
        <w:rPr>
          <w:rFonts w:ascii="Calibri" w:cs="Calibri" w:eastAsia="Calibri" w:hAnsi="Calibri"/>
          <w:i/>
          <w:iCs/>
          <w:color w:val="2563A8"/>
          <w:sz w:val="22"/>
          <w:szCs w:val="22"/>
        </w:rPr>
        <w:t xml:space="preserve">Niveau 3 — Expert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30 — Werkboek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3 · Expert · Voorbereidende opdrachten en zelfcheck</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Deel A — Analyse per gebeurtenis</w:t>
      </w:r>
    </w:p>
    <w:p>
      <w:pPr>
        <w:pStyle w:val="Heading2"/>
        <w:spacing w:after="120" w:before="200"/>
      </w:pPr>
      <w:r>
        <w:rPr>
          <w:rFonts w:ascii="Georgia" w:cs="Georgia" w:eastAsia="Georgia" w:hAnsi="Georgia"/>
          <w:b/>
          <w:bCs/>
          <w:color w:val="2563A8"/>
          <w:sz w:val="28"/>
          <w:szCs w:val="28"/>
        </w:rPr>
        <w:t xml:space="preserve">Opdracht 30.1 — Prioritering</w:t>
      </w:r>
    </w:p>
    <w:p>
      <w:pPr>
        <w:spacing w:after="140" w:line="300"/>
      </w:pPr>
      <w:r>
        <w:rPr>
          <w:rFonts w:ascii="Calibri" w:cs="Calibri" w:eastAsia="Calibri" w:hAnsi="Calibri"/>
          <w:b w:val="false"/>
          <w:bCs w:val="false"/>
          <w:i w:val="false"/>
          <w:iCs w:val="false"/>
          <w:sz w:val="22"/>
          <w:szCs w:val="22"/>
        </w:rPr>
        <w:t xml:space="preserve">Stel je eigen prioriteitsvolgorde op voor de vier gebeurtenissen, met per gebeurtenis één zin onderbouwing. Doe dit vóórdat je verder leest.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(richtlijn, geen uniek juist antwoord). Een verdedigbare volgorde: (1) het datakwaliteitsprobleem eerst signaleren en afbakenen — niet oplossen, maar de omvang vaststellen, want elk ander onderdeel van het dossier steunt op betrouwbare cijfers; (2) Karels dossier, gezien de harde deadline van acht maanden; (3) de discriminatieklacht, die geen acute deadline kent maar wel het zwaarste juridische gewicht; (4) Ferdi’s ODV-dossier, dat een langere horizon heeft (vijf jaar tot de beoogde verkoop). Een andere verdedigbare volgorde zet de discriminatieklacht eerst, met het argument dat een lopende klacht reputatie- en escalatierisico met zich meebrengt dat niet kan wachten. Beoordeel niet op de exacte volgorde maar op de kwaliteit van de motivering.</w:t>
            </w:r>
          </w:p>
        </w:tc>
      </w:tr>
    </w:tbl>
    <w:p>
      <w:pPr>
        <w:spacing w:after="100"/>
      </w:pPr>
    </w:p>
    <w:p>
      <w:pPr>
        <w:pStyle w:val="Heading2"/>
        <w:spacing w:after="120" w:before="200"/>
      </w:pPr>
      <w:r>
        <w:rPr>
          <w:rFonts w:ascii="Georgia" w:cs="Georgia" w:eastAsia="Georgia" w:hAnsi="Georgia"/>
          <w:b/>
          <w:bCs/>
          <w:color w:val="2563A8"/>
          <w:sz w:val="28"/>
          <w:szCs w:val="28"/>
        </w:rPr>
        <w:t xml:space="preserve">Opdracht 30.2 — De discriminatieklacht diagnosticeren</w:t>
      </w:r>
    </w:p>
    <w:p>
      <w:pPr>
        <w:spacing w:after="140" w:line="300"/>
      </w:pPr>
      <w:r>
        <w:rPr>
          <w:rFonts w:ascii="Calibri" w:cs="Calibri" w:eastAsia="Calibri" w:hAnsi="Calibri"/>
          <w:b w:val="false"/>
          <w:bCs w:val="false"/>
          <w:i w:val="false"/>
          <w:iCs w:val="false"/>
          <w:sz w:val="22"/>
          <w:szCs w:val="22"/>
        </w:rPr>
        <w:t xml:space="preserve">Pas de driestappentoets uit deel 22 toe op Simones situatie. Betrek expliciet de cohortvermenging-analyse uit deel 23.</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Legitiem doel van de eerbiedigende werking: bescherming van deelnemers met weinig aanpassingstijd op het omzettingsmoment (2027). Passend middel: voortzetting van de staffel voor die groep. Noodzakelijk middel: dit is waar de zaak van Simone het zwaarst weegt — in 2027 was zij 28, met decennia aanpassingstijd voor zich; het beschermingsargument was voor haar destijds al zwak, en is dat nu, op haar 34e met een tastbare Bergsma-collega als vergelijkingspunt, nog zwakker. De cohortvermenging (deel 23, 23.7) heeft het abstracte nadeel concreet en zichtbaar gemaakt. Conclusie: de rechtvaardiging voor Simones specifieke positie is kwetsbaar, en Van Doorn moet serieus overwegen een oplossing te bieden — bijvoorbeeld een vervroegde overstap naar de vlakke premie voor de jongste leden van de gesloten groep, met passende compensatie.</w:t>
            </w:r>
          </w:p>
        </w:tc>
      </w:tr>
    </w:tbl>
    <w:p>
      <w:pPr>
        <w:spacing w:after="100"/>
      </w:pPr>
    </w:p>
    <w:p>
      <w:pPr>
        <w:pStyle w:val="Heading2"/>
        <w:spacing w:after="120" w:before="200"/>
      </w:pPr>
      <w:r>
        <w:rPr>
          <w:rFonts w:ascii="Georgia" w:cs="Georgia" w:eastAsia="Georgia" w:hAnsi="Georgia"/>
          <w:b/>
          <w:bCs/>
          <w:color w:val="2563A8"/>
          <w:sz w:val="28"/>
          <w:szCs w:val="28"/>
        </w:rPr>
        <w:t xml:space="preserve">Opdracht 30.3 — Het datakwaliteitsprobleem diagnosticeren</w:t>
      </w:r>
    </w:p>
    <w:p>
      <w:pPr>
        <w:spacing w:after="140" w:line="300"/>
      </w:pPr>
      <w:r>
        <w:rPr>
          <w:rFonts w:ascii="Calibri" w:cs="Calibri" w:eastAsia="Calibri" w:hAnsi="Calibri"/>
          <w:b w:val="false"/>
          <w:bCs w:val="false"/>
          <w:i w:val="false"/>
          <w:iCs w:val="false"/>
          <w:sz w:val="22"/>
          <w:szCs w:val="22"/>
        </w:rPr>
        <w:t xml:space="preserve">Pas de vier dimensies uit deel 19 toe op de situatie: salarismutaties tussen 2028 en 2031 niet correct doorgevoerd voor twaalf medewerkers.</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Primair een schending van tijdigheid (mutaties niet op tijd doorgegeven) en mogelijk juistheid (de uiteindelijk verwerkte gegevens kunnen zijn afgeleid van onjuiste tussentijdse informatie). Er is een reëel risico op een consistentie-schending tussen de salarisadministratie van destijds en wat bij Meridiaan geregistreerd staat. Volledigheid is vermoedelijk niet in het geding — de mutaties bestonden, zij zijn alleen niet correct verwerkt. Vervolgstap: een bestandsvergelijking (deel 19, paragraaf 19.7) tussen de oorspronkelijke salarisadministratie en wat bij Meridiaan is geregistreerd, voor alle twaalf betrokkenen, niet alleen Karel.</w:t>
            </w:r>
          </w:p>
        </w:tc>
      </w:tr>
    </w:tbl>
    <w:p>
      <w:pPr>
        <w:spacing w:after="100"/>
      </w:pPr>
    </w:p>
    <w:p>
      <w:pPr>
        <w:pStyle w:val="Heading2"/>
        <w:spacing w:after="120" w:before="200"/>
      </w:pPr>
      <w:r>
        <w:rPr>
          <w:rFonts w:ascii="Georgia" w:cs="Georgia" w:eastAsia="Georgia" w:hAnsi="Georgia"/>
          <w:b/>
          <w:bCs/>
          <w:color w:val="2563A8"/>
          <w:sz w:val="28"/>
          <w:szCs w:val="28"/>
        </w:rPr>
        <w:t xml:space="preserve">Opdracht 30.4 — Karels correctie doorrekenen</w:t>
      </w:r>
    </w:p>
    <w:p>
      <w:pPr>
        <w:spacing w:after="140" w:line="300"/>
      </w:pPr>
      <w:r>
        <w:rPr>
          <w:rFonts w:ascii="Calibri" w:cs="Calibri" w:eastAsia="Calibri" w:hAnsi="Calibri"/>
          <w:b w:val="false"/>
          <w:bCs w:val="false"/>
          <w:i w:val="false"/>
          <w:iCs w:val="false"/>
          <w:sz w:val="22"/>
          <w:szCs w:val="22"/>
        </w:rPr>
        <w:t xml:space="preserve">Stel vast (zonder exacte bedragen, die niet in de casus zijn gegeven — het gaat om de methode) welke stappen je zet om Karels mogelijke correctie te berekenen, gebruikmakend van de rekenmethodiek uit deel 11.</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Stap 1: vaststellen wat het correcte salaris per jaar (2028-2031) had moeten zijn. Stap 2: de pensioengrondslag per jaar herberekenen (salaris − franchise, deel 11). Stap 3: de premie per jaar herberekenen op basis van het toen geldende percentage. Stap 4: het verschil tussen de daadwerkelijk ingehouden en de correcte premie vaststellen, gecumuleerd over de vier jaar. Stap 5: bepalen wat hiermee moet gebeuren — alsnog inhouden of vergoeden, afhankelijk van of Karel te veel of te weinig premie heeft ingelegd, met aandacht voor eventuele fiscale gevolgen van een met terugwerkende kracht gecorrigeerde premie.</w:t>
            </w:r>
          </w:p>
        </w:tc>
      </w:tr>
    </w:tbl>
    <w:p>
      <w:pPr>
        <w:spacing w:after="100"/>
      </w:pPr>
    </w:p>
    <w:p>
      <w:pPr>
        <w:pStyle w:val="Heading2"/>
        <w:spacing w:after="120" w:before="200"/>
      </w:pPr>
      <w:r>
        <w:rPr>
          <w:rFonts w:ascii="Georgia" w:cs="Georgia" w:eastAsia="Georgia" w:hAnsi="Georgia"/>
          <w:b/>
          <w:bCs/>
          <w:color w:val="2563A8"/>
          <w:sz w:val="28"/>
          <w:szCs w:val="28"/>
        </w:rPr>
        <w:t xml:space="preserve">Opdracht 30.5 — Karels keuzes bij pensionering</w:t>
      </w:r>
    </w:p>
    <w:p>
      <w:pPr>
        <w:spacing w:after="140" w:line="300"/>
      </w:pPr>
      <w:r>
        <w:rPr>
          <w:rFonts w:ascii="Calibri" w:cs="Calibri" w:eastAsia="Calibri" w:hAnsi="Calibri"/>
          <w:b w:val="false"/>
          <w:bCs w:val="false"/>
          <w:i w:val="false"/>
          <w:iCs w:val="false"/>
          <w:sz w:val="22"/>
          <w:szCs w:val="22"/>
        </w:rPr>
        <w:t xml:space="preserve">Pas het afwegingskader uit deel 13 toe op Karel (65, acht maanden tot pensionering, mogelijk gecorrigeerd kapitaal, partner Marleen).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Afhankelijkheid van de uitkering: nog steeds hoog. Aanvullende buffer: beperkt, zoals eerder in de cursus vastgesteld. Risicohouding: consistent met zijn eerdere reacties (deel 8), gericht op voorspelbaarheid. Advies: een vaste uitkering blijft passend. De uitruil naar een hoger partnerpensioen voor Marleen (deel 9) moet opnieuw worden doorgerekend zodra de correctie uit opdracht 30.4 bekend is — een kleinere of grotere basis verandert de concrete bedragen, niet de onderliggende keuzelogica.</w:t>
            </w:r>
          </w:p>
        </w:tc>
      </w:tr>
    </w:tbl>
    <w:p>
      <w:pPr>
        <w:spacing w:after="100"/>
      </w:pPr>
    </w:p>
    <w:p>
      <w:pPr>
        <w:pStyle w:val="Heading2"/>
        <w:spacing w:after="120" w:before="200"/>
      </w:pPr>
      <w:r>
        <w:rPr>
          <w:rFonts w:ascii="Georgia" w:cs="Georgia" w:eastAsia="Georgia" w:hAnsi="Georgia"/>
          <w:b/>
          <w:bCs/>
          <w:color w:val="2563A8"/>
          <w:sz w:val="28"/>
          <w:szCs w:val="28"/>
        </w:rPr>
        <w:t xml:space="preserve">Opdracht 30.6 — Ferdi’s ODV-dossier controleren</w:t>
      </w:r>
    </w:p>
    <w:p>
      <w:pPr>
        <w:spacing w:after="140" w:line="300"/>
      </w:pPr>
      <w:r>
        <w:rPr>
          <w:rFonts w:ascii="Calibri" w:cs="Calibri" w:eastAsia="Calibri" w:hAnsi="Calibri"/>
          <w:b w:val="false"/>
          <w:bCs w:val="false"/>
          <w:i w:val="false"/>
          <w:iCs w:val="false"/>
          <w:sz w:val="22"/>
          <w:szCs w:val="22"/>
        </w:rPr>
        <w:t xml:space="preserve">Stel de vragenlijst op die je aan Ferdi voorlegt om zijn ODV-dossier te controleren vóór een eventuele bedrijfsverkoop (gebruik deel 26).</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Minimaal: (1) is er destijds, bij de omzetting van het PEB naar de ODV, een schriftelijke instemmingsverklaring van zijn echtgenote vastgelegd? (2) Is er een compensatieafspraak gemaakt voor het verlies van haar partnerpensioen- en vereveningsrechten, en zo ja, is die nagekomen? (3) Wat is de actuele stand van de ODV-verplichting, inclusief oprenting? (4) Is er, met het oog op de bedrijfsverkoop, reden om de ODV af te storten naar een externe lijfrente-aanbieder, zodat de verplichting wordt losgemaakt van het ondernemingsrisico? (5) Benut Ferdi zijn eigen jaarruimte in de derde pijler?</w:t>
            </w:r>
          </w:p>
        </w:tc>
      </w:tr>
    </w:tbl>
    <w:p>
      <w:pPr>
        <w:spacing w:after="100"/>
      </w:pPr>
    </w:p>
    <w:p>
      <w:pPr>
        <w:pStyle w:val="Heading2"/>
        <w:spacing w:after="120" w:before="200"/>
      </w:pPr>
      <w:r>
        <w:rPr>
          <w:rFonts w:ascii="Georgia" w:cs="Georgia" w:eastAsia="Georgia" w:hAnsi="Georgia"/>
          <w:b/>
          <w:bCs/>
          <w:color w:val="2563A8"/>
          <w:sz w:val="28"/>
          <w:szCs w:val="28"/>
        </w:rPr>
        <w:t xml:space="preserve">Deel B — Integratie</w:t>
      </w:r>
    </w:p>
    <w:p>
      <w:pPr>
        <w:pStyle w:val="Heading2"/>
        <w:spacing w:after="120" w:before="200"/>
      </w:pPr>
      <w:r>
        <w:rPr>
          <w:rFonts w:ascii="Georgia" w:cs="Georgia" w:eastAsia="Georgia" w:hAnsi="Georgia"/>
          <w:b/>
          <w:bCs/>
          <w:color w:val="2563A8"/>
          <w:sz w:val="28"/>
          <w:szCs w:val="28"/>
        </w:rPr>
        <w:t xml:space="preserve">Opdracht 30.7 — De kruisverwijzingen expliciet maken</w:t>
      </w:r>
    </w:p>
    <w:p>
      <w:pPr>
        <w:spacing w:after="140" w:line="300"/>
      </w:pPr>
      <w:r>
        <w:rPr>
          <w:rFonts w:ascii="Calibri" w:cs="Calibri" w:eastAsia="Calibri" w:hAnsi="Calibri"/>
          <w:b w:val="false"/>
          <w:bCs w:val="false"/>
          <w:i w:val="false"/>
          <w:iCs w:val="false"/>
          <w:sz w:val="22"/>
          <w:szCs w:val="22"/>
        </w:rPr>
        <w:t xml:space="preserve">Formuleer, voortbouwend op opdracht 30.2 en 30.3, minstens twee zinnen die de discriminatieklacht en het datakwaliteitsprobleem inhoudelijk met elkaar verbinden.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(voorbeeld). “Voordat de discriminatieklacht van Simone volledig kan worden beoordeeld, moet worden vastgesteld of haar eigen premiegegevens onderdeel zijn van de datakwaliteitsfout — een onjuist geregistreerd salaris bij Simone zou de vergelijking met haar Bergsma-collega vertekenen en het advies over de klacht voorbarig maken.” En: “Het feit dat er al een datakwaliteitsprobleem is geconstateerd bij twaalf medewerkers, ondermijnt het algemene vertrouwen in de administratie rond de gesloten groep, en dat vertrouwen is precies waar het juridisch verdedigen van de eerbiedigende werking op moet kunnen steunen.”</w:t>
            </w:r>
          </w:p>
        </w:tc>
      </w:tr>
    </w:tbl>
    <w:p>
      <w:pPr>
        <w:spacing w:after="100"/>
      </w:pPr>
    </w:p>
    <w:p>
      <w:pPr>
        <w:pStyle w:val="Heading2"/>
        <w:spacing w:after="120" w:before="200"/>
      </w:pPr>
      <w:r>
        <w:rPr>
          <w:rFonts w:ascii="Georgia" w:cs="Georgia" w:eastAsia="Georgia" w:hAnsi="Georgia"/>
          <w:b/>
          <w:bCs/>
          <w:color w:val="2563A8"/>
          <w:sz w:val="28"/>
          <w:szCs w:val="28"/>
        </w:rPr>
        <w:t xml:space="preserve">Opdracht 30.8 — Complete zelfcheck vóór inlevering</w:t>
      </w:r>
    </w:p>
    <w:p>
      <w:pPr>
        <w:spacing w:after="140" w:line="300"/>
      </w:pPr>
      <w:r>
        <w:rPr>
          <w:rFonts w:ascii="Calibri" w:cs="Calibri" w:eastAsia="Calibri" w:hAnsi="Calibri"/>
          <w:b w:val="false"/>
          <w:bCs w:val="false"/>
          <w:i w:val="false"/>
          <w:iCs w:val="false"/>
          <w:sz w:val="22"/>
          <w:szCs w:val="22"/>
        </w:rPr>
        <w:t xml:space="preserve">Loop de volgende lijst na vóór je je definitieve advies (opdracht in dagdeel A van de docentensessie) inlevert:</w:t>
      </w:r>
    </w:p>
    <w:p>
      <w:pPr>
        <w:pStyle w:val="ListParagraph"/>
        <w:numPr>
          <w:ilvl w:val="0"/>
          <w:numId w:val="1"/>
        </w:numPr>
        <w:spacing w:after="80"/>
      </w:pPr>
      <w:r>
        <w:rPr>
          <w:rFonts w:ascii="Calibri" w:cs="Calibri" w:eastAsia="Calibri" w:hAnsi="Calibri"/>
          <w:sz w:val="22"/>
          <w:szCs w:val="22"/>
        </w:rPr>
        <w:t xml:space="preserve">[ ] Alle vier gebeurtenissen zijn behandeld met een expliciete prioriteringsonderbouwing</w:t>
      </w:r>
    </w:p>
    <w:p>
      <w:pPr>
        <w:pStyle w:val="ListParagraph"/>
        <w:numPr>
          <w:ilvl w:val="0"/>
          <w:numId w:val="1"/>
        </w:numPr>
        <w:spacing w:after="80"/>
      </w:pPr>
      <w:r>
        <w:rPr>
          <w:rFonts w:ascii="Calibri" w:cs="Calibri" w:eastAsia="Calibri" w:hAnsi="Calibri"/>
          <w:sz w:val="22"/>
          <w:szCs w:val="22"/>
        </w:rPr>
        <w:t xml:space="preserve">[ ] De driestappentoets is volledig toegepast op de discriminatieklacht, inclusief de cohortvermengingsanalyse</w:t>
      </w:r>
    </w:p>
    <w:p>
      <w:pPr>
        <w:pStyle w:val="ListParagraph"/>
        <w:numPr>
          <w:ilvl w:val="0"/>
          <w:numId w:val="1"/>
        </w:numPr>
        <w:spacing w:after="80"/>
      </w:pPr>
      <w:r>
        <w:rPr>
          <w:rFonts w:ascii="Calibri" w:cs="Calibri" w:eastAsia="Calibri" w:hAnsi="Calibri"/>
          <w:sz w:val="22"/>
          <w:szCs w:val="22"/>
        </w:rPr>
        <w:t xml:space="preserve">[ ] De vier dimensies van datakwaliteit zijn toegepast op het salarisprobleem</w:t>
      </w:r>
    </w:p>
    <w:p>
      <w:pPr>
        <w:pStyle w:val="ListParagraph"/>
        <w:numPr>
          <w:ilvl w:val="0"/>
          <w:numId w:val="1"/>
        </w:numPr>
        <w:spacing w:after="80"/>
      </w:pPr>
      <w:r>
        <w:rPr>
          <w:rFonts w:ascii="Calibri" w:cs="Calibri" w:eastAsia="Calibri" w:hAnsi="Calibri"/>
          <w:sz w:val="22"/>
          <w:szCs w:val="22"/>
        </w:rPr>
        <w:t xml:space="preserve">[ ] Karels dossier bevat zowel de correctiemethode als het vast/variabel-advies</w:t>
      </w:r>
    </w:p>
    <w:p>
      <w:pPr>
        <w:pStyle w:val="ListParagraph"/>
        <w:numPr>
          <w:ilvl w:val="0"/>
          <w:numId w:val="1"/>
        </w:numPr>
        <w:spacing w:after="80"/>
      </w:pPr>
      <w:r>
        <w:rPr>
          <w:rFonts w:ascii="Calibri" w:cs="Calibri" w:eastAsia="Calibri" w:hAnsi="Calibri"/>
          <w:sz w:val="22"/>
          <w:szCs w:val="22"/>
        </w:rPr>
        <w:t xml:space="preserve">[ ] Ferdi’s ODV-dossier bevat een concrete controlevragenlijst</w:t>
      </w:r>
    </w:p>
    <w:p>
      <w:pPr>
        <w:pStyle w:val="ListParagraph"/>
        <w:numPr>
          <w:ilvl w:val="0"/>
          <w:numId w:val="1"/>
        </w:numPr>
        <w:spacing w:after="80"/>
      </w:pPr>
      <w:r>
        <w:rPr>
          <w:rFonts w:ascii="Calibri" w:cs="Calibri" w:eastAsia="Calibri" w:hAnsi="Calibri"/>
          <w:sz w:val="22"/>
          <w:szCs w:val="22"/>
        </w:rPr>
        <w:t xml:space="preserve">[ ] Er staan minstens drie expliciete kruisverwijzingen tussen de vier onderdelen</w:t>
      </w:r>
    </w:p>
    <w:p>
      <w:pPr>
        <w:pStyle w:val="ListParagraph"/>
        <w:numPr>
          <w:ilvl w:val="0"/>
          <w:numId w:val="1"/>
        </w:numPr>
        <w:spacing w:after="80"/>
      </w:pPr>
      <w:r>
        <w:rPr>
          <w:rFonts w:ascii="Calibri" w:cs="Calibri" w:eastAsia="Calibri" w:hAnsi="Calibri"/>
          <w:sz w:val="22"/>
          <w:szCs w:val="22"/>
        </w:rPr>
        <w:t xml:space="preserve">[ ] Onderdeel 7 (openstaande punten) is niet leeg</w:t>
      </w:r>
    </w:p>
    <w:p>
      <w:pPr>
        <w:pStyle w:val="ListParagraph"/>
        <w:numPr>
          <w:ilvl w:val="0"/>
          <w:numId w:val="1"/>
        </w:numPr>
        <w:spacing w:after="80"/>
      </w:pPr>
      <w:r>
        <w:rPr>
          <w:rFonts w:ascii="Calibri" w:cs="Calibri" w:eastAsia="Calibri" w:hAnsi="Calibri"/>
          <w:sz w:val="22"/>
          <w:szCs w:val="22"/>
        </w:rPr>
        <w:t xml:space="preserve">[ ] Er staat geen enkele zin die Simones klacht bagatelliseert of wegredeneert zonder inhoudelijke onderbouwing</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modelantwoord — dit is de zelfcontrole vóór het schriftelijke advies wordt afgerond en de boardsimulatie in dagdeel B begint.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3 — Expert · Deel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2026-08-17T11:22:46.494Z</dcterms:created>
  <dcterms:modified xsi:type="dcterms:W3CDTF">2026-08-17T11:22:46.494Z</dcterms:modified>
</cp:coreProperties>
</file>

<file path=docProps/custom.xml><?xml version="1.0" encoding="utf-8"?>
<Properties xmlns="http://schemas.openxmlformats.org/officeDocument/2006/custom-properties" xmlns:vt="http://schemas.openxmlformats.org/officeDocument/2006/docPropsVTypes"/>
</file>