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B2A4A" w:sz="12" w:space="4"/>
        </w:pBdr>
        <w:spacing w:after="160" w:before="240"/>
      </w:pPr>
      <w:r>
        <w:rPr>
          <w:rFonts w:ascii="Georgia" w:cs="Georgia" w:eastAsia="Georgia" w:hAnsi="Georgia"/>
          <w:b/>
          <w:bCs/>
          <w:color w:val="1B2A4A"/>
          <w:sz w:val="36"/>
          <w:szCs w:val="36"/>
        </w:rPr>
        <w:t xml:space="preserve">Deel 1 — Wat DDD is, en wanneer je het niet nodig hebt</w:t>
      </w:r>
    </w:p>
    <w:p>
      <w:pPr>
        <w:spacing w:after="140" w:line="300"/>
      </w:pPr>
      <w:r>
        <w:rPr>
          <w:rFonts w:ascii="Calibri" w:cs="Calibri" w:eastAsia="Calibri" w:hAnsi="Calibri"/>
          <w:b w:val="false"/>
          <w:bCs w:val="false"/>
          <w:i w:val="false"/>
          <w:iCs w:val="false"/>
          <w:sz w:val="22"/>
          <w:szCs w:val="22"/>
        </w:rPr>
        <w:t xml:space="preserve">Docentenhandleiding · Ductus-cursus Domain-Driven Design · niveau 1 · deel 1 van 30</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 Positie van dit deel</w:t>
      </w:r>
    </w:p>
    <w:p>
      <w:pPr>
        <w:spacing w:after="140" w:line="300"/>
      </w:pPr>
      <w:r>
        <w:rPr>
          <w:rFonts w:ascii="Calibri" w:cs="Calibri" w:eastAsia="Calibri" w:hAnsi="Calibri"/>
          <w:b w:val="false"/>
          <w:bCs w:val="false"/>
          <w:i w:val="false"/>
          <w:iCs w:val="false"/>
          <w:sz w:val="22"/>
          <w:szCs w:val="22"/>
        </w:rPr>
        <w:t xml:space="preserve">Deel 1 is het openingsdeel van de hele cursusfamilielijn Domain-Driven Design. Het draagt drie lasten tegelijk: het introduceert het vak, het introduceert de casus, en het zet de toon voor negenentwintig delen die volgen. Onderschat de derde last niet — als deelnemers hier het idee krijgen dat DDD een verplicht recept is dat overal wordt uitgerold, ben je dat idee de rest van niveau 1 aan het bestrijden.</w:t>
      </w:r>
    </w:p>
    <w:p>
      <w:pPr>
        <w:pStyle w:val="ListParagraph"/>
        <w:numPr>
          <w:ilvl w:val="0"/>
          <w:numId w:val="1"/>
        </w:numPr>
        <w:spacing w:after="80"/>
      </w:pPr>
      <w:r>
        <w:rPr>
          <w:rFonts w:ascii="Calibri" w:cs="Calibri" w:eastAsia="Calibri" w:hAnsi="Calibri"/>
          <w:sz w:val="22"/>
          <w:szCs w:val="22"/>
        </w:rPr>
        <w:t xml:space="preserve">**Module-onderdeel:** voorbereidend op het curriculumonderdeel "domain, model en ubiquitous language" van de iSAQB Advanced-module DDD.</w:t>
      </w:r>
    </w:p>
    <w:p>
      <w:pPr>
        <w:pStyle w:val="ListParagraph"/>
        <w:numPr>
          <w:ilvl w:val="0"/>
          <w:numId w:val="1"/>
        </w:numPr>
        <w:spacing w:after="80"/>
      </w:pPr>
      <w:r>
        <w:rPr>
          <w:rFonts w:ascii="Calibri" w:cs="Calibri" w:eastAsia="Calibri" w:hAnsi="Calibri"/>
          <w:sz w:val="22"/>
          <w:szCs w:val="22"/>
        </w:rPr>
        <w:t xml:space="preserve">**Werkvorm:** de complexiteitstoets.</w:t>
      </w:r>
    </w:p>
    <w:p>
      <w:pPr>
        <w:pStyle w:val="ListParagraph"/>
        <w:numPr>
          <w:ilvl w:val="0"/>
          <w:numId w:val="1"/>
        </w:numPr>
        <w:spacing w:after="80"/>
      </w:pPr>
      <w:r>
        <w:rPr>
          <w:rFonts w:ascii="Calibri" w:cs="Calibri" w:eastAsia="Calibri" w:hAnsi="Calibri"/>
          <w:sz w:val="22"/>
          <w:szCs w:val="22"/>
        </w:rPr>
        <w:t xml:space="preserve">**Duur:** één dagdeel (3,5 uur inclusief pauze).</w:t>
      </w:r>
    </w:p>
    <w:p>
      <w:pPr>
        <w:pStyle w:val="ListParagraph"/>
        <w:numPr>
          <w:ilvl w:val="0"/>
          <w:numId w:val="1"/>
        </w:numPr>
        <w:spacing w:after="80"/>
      </w:pPr>
      <w:r>
        <w:rPr>
          <w:rFonts w:ascii="Calibri" w:cs="Calibri" w:eastAsia="Calibri" w:hAnsi="Calibri"/>
          <w:sz w:val="22"/>
          <w:szCs w:val="22"/>
        </w:rPr>
        <w:t xml:space="preserve">**Voorbereiding deelnemers:** casusdossier niveau 1 volledig gelezen.</w:t>
      </w:r>
    </w:p>
    <w:p>
      <w:pPr>
        <w:pStyle w:val="Heading2"/>
        <w:spacing w:after="120" w:before="200"/>
      </w:pPr>
      <w:r>
        <w:rPr>
          <w:rFonts w:ascii="Georgia" w:cs="Georgia" w:eastAsia="Georgia" w:hAnsi="Georgia"/>
          <w:b/>
          <w:bCs/>
          <w:color w:val="2C5AA0"/>
          <w:sz w:val="28"/>
          <w:szCs w:val="28"/>
        </w:rPr>
        <w:t xml:space="preserve">2. Tijdschema (dagdeel van 3,5 uur)</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Kennismaking en de openingsvraag (zie §3)</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0:15-0:45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Wat DDD is; de casus en Daans eerste sessie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0:45-1:00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1 — domeinonderdeel of niet, klassikaal nabespreken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1:00-1:20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2 — het overdrachtslogboek lezen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1:20-1:35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1:35-1:55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complexiteitstoets: de vier assen en het vijfde veld</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1:55-2:20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3 — eigen complexiteitstoets uitvoeren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2:20-2:35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4 — de verkeerde inschatting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2:35-3:05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5 — rollenspel in tweetallen, inclusief nabespreking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3:05-3:25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6 — de les van WGP 2.0, 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3:25-3:35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Positionering van de module, vooruitblik deel 2</w:t>
            </w:r>
          </w:p>
        </w:tc>
      </w:tr>
    </w:tbl>
    <w:p>
      <w:pPr>
        <w:spacing w:after="140" w:line="300"/>
      </w:pPr>
      <w:r>
        <w:rPr>
          <w:rFonts w:ascii="Calibri" w:cs="Calibri" w:eastAsia="Calibri" w:hAnsi="Calibri"/>
          <w:b w:val="false"/>
          <w:bCs w:val="false"/>
          <w:i w:val="false"/>
          <w:iCs w:val="false"/>
          <w:sz w:val="22"/>
          <w:szCs w:val="22"/>
        </w:rPr>
        <w:t xml:space="preserve">Loop je uit, dan schrap je opdracht 4 en verwerk je de kernvraag ("wat gaat er mis bij een verkeerde inschatting") mondeling in de nabespreking van opdracht 3. Schrap nooit opdracht 5: het rollenspel is het enige onderdeel waarin deelnemers merken dat "wanneer wél, wanneer niet" een gesprek is en geen invuloefening.</w:t>
      </w:r>
    </w:p>
    <w:p>
      <w:pPr>
        <w:pStyle w:val="Heading2"/>
        <w:spacing w:after="120" w:before="200"/>
      </w:pPr>
      <w:r>
        <w:rPr>
          <w:rFonts w:ascii="Georgia" w:cs="Georgia" w:eastAsia="Georgia" w:hAnsi="Georgia"/>
          <w:b/>
          <w:bCs/>
          <w:color w:val="2C5AA0"/>
          <w:sz w:val="28"/>
          <w:szCs w:val="28"/>
        </w:rPr>
        <w:t xml:space="preserve">3. De openingsvraag</w:t>
      </w:r>
    </w:p>
    <w:p>
      <w:pPr>
        <w:spacing w:after="140" w:line="300"/>
      </w:pPr>
      <w:r>
        <w:rPr>
          <w:rFonts w:ascii="Calibri" w:cs="Calibri" w:eastAsia="Calibri" w:hAnsi="Calibri"/>
          <w:b w:val="false"/>
          <w:bCs w:val="false"/>
          <w:i w:val="false"/>
          <w:iCs w:val="false"/>
          <w:sz w:val="22"/>
          <w:szCs w:val="22"/>
        </w:rPr>
        <w:t xml:space="preserve">Begin niet met een definitie van DDD. Stel de groep deze vraag en laat hem even hangen:</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*"Een team bouwt een systeem met precies de patronen uit het boek — aggregates, domain events, bounded contexts, het complete instrumentarium. Het onderdeel dat ze bouwen is een simpele lijst met vijf velden die nooit verandert. Wat is hier misgegaan?"*</w:t>
            </w:r>
          </w:p>
        </w:tc>
      </w:tr>
    </w:tbl>
    <w:p>
      <w:pPr>
        <w:spacing w:after="140" w:line="300"/>
      </w:pPr>
      <w:r>
        <w:rPr>
          <w:rFonts w:ascii="Calibri" w:cs="Calibri" w:eastAsia="Calibri" w:hAnsi="Calibri"/>
          <w:b w:val="false"/>
          <w:bCs w:val="false"/>
          <w:i w:val="false"/>
          <w:iCs w:val="false"/>
          <w:sz w:val="22"/>
          <w:szCs w:val="22"/>
        </w:rPr>
        <w:t xml:space="preserve">Verzamel antwoorden op een flap zonder te oordelen. Vrijwel altijd komt "overkill" of "te ingewikkeld voor niks" langs — vaak ook: "ze hadden beter naar het probleem kunnen kijken dan naar het boek". Bewaar de flap: in deel 10 kom je erop terug, wanneer de groep hetzelfde soort oordeel kan onderbouwen met de complexiteitstoets in plaats van met een onderbuikgevoel.</w:t>
      </w:r>
    </w:p>
    <w:p>
      <w:pPr>
        <w:pStyle w:val="Heading2"/>
        <w:spacing w:after="120" w:before="200"/>
      </w:pPr>
      <w:r>
        <w:rPr>
          <w:rFonts w:ascii="Georgia" w:cs="Georgia" w:eastAsia="Georgia" w:hAnsi="Georgia"/>
          <w:b/>
          <w:bCs/>
          <w:color w:val="2C5AA0"/>
          <w:sz w:val="28"/>
          <w:szCs w:val="28"/>
        </w:rPr>
        <w:t xml:space="preserve">4. Didactische aanwijzingen per onderdeel</w:t>
      </w:r>
    </w:p>
    <w:p>
      <w:pPr>
        <w:spacing w:after="140" w:line="300"/>
      </w:pPr>
      <w:r>
        <w:rPr>
          <w:rFonts w:ascii="Calibri" w:cs="Calibri" w:eastAsia="Calibri" w:hAnsi="Calibri"/>
          <w:b/>
          <w:bCs/>
          <w:i w:val="false"/>
          <w:iCs w:val="false"/>
          <w:sz w:val="22"/>
          <w:szCs w:val="22"/>
        </w:rPr>
        <w:t xml:space="preserve">Wat DDD is (0:15-0:45).</w:t>
      </w:r>
      <w:r>
        <w:rPr>
          <w:rFonts w:ascii="Calibri" w:cs="Calibri" w:eastAsia="Calibri" w:hAnsi="Calibri"/>
          <w:b w:val="false"/>
          <w:bCs w:val="false"/>
          <w:i w:val="false"/>
          <w:iCs w:val="false"/>
          <w:sz w:val="22"/>
          <w:szCs w:val="22"/>
        </w:rPr>
        <w:t xml:space="preserve"> Houd de definitie kort en besteed de tijd aan de drie elementen eromheen. Het element dat de meeste weerstand oproept is "DDD is een investering, geen standaardaanpak" — er zitten vaak deelnemers in de zaal die DDD hebben leren kennen als iets wat je "gewoon altijd goed doet". Neem die weerstand serieus: de casus van Daan (die het omgekeerde deed — te snel aannemen dat er níets nodig was) is er juist om te laten zien dat de fout in beide richtingen kan optreden, niet alleen als onderinvestering.</w:t>
      </w:r>
    </w:p>
    <w:p>
      <w:pPr>
        <w:spacing w:after="140" w:line="300"/>
      </w:pPr>
      <w:r>
        <w:rPr>
          <w:rFonts w:ascii="Calibri" w:cs="Calibri" w:eastAsia="Calibri" w:hAnsi="Calibri"/>
          <w:b/>
          <w:bCs/>
          <w:i w:val="false"/>
          <w:iCs w:val="false"/>
          <w:sz w:val="22"/>
          <w:szCs w:val="22"/>
        </w:rPr>
        <w:t xml:space="preserve">De casus (0:15-0:45).</w:t>
      </w:r>
      <w:r>
        <w:rPr>
          <w:rFonts w:ascii="Calibri" w:cs="Calibri" w:eastAsia="Calibri" w:hAnsi="Calibri"/>
          <w:b w:val="false"/>
          <w:bCs w:val="false"/>
          <w:i w:val="false"/>
          <w:iCs w:val="false"/>
          <w:sz w:val="22"/>
          <w:szCs w:val="22"/>
        </w:rPr>
        <w:t xml:space="preserve"> Laat deelnemers zelf benoemen waarom Willemijns tegenvraag ("wat als er twee mensen zijn die allebei zeggen dat ze de partner waren") raak is. Vertel het niet voor. Als zij het zelf vinden, onthouden ze het onderscheid tussen "ik heb naar de database gekeken" en "ik heb naar het werk gekeken".</w:t>
      </w:r>
    </w:p>
    <w:p>
      <w:pPr>
        <w:spacing w:after="140" w:line="300"/>
      </w:pPr>
      <w:r>
        <w:rPr>
          <w:rFonts w:ascii="Calibri" w:cs="Calibri" w:eastAsia="Calibri" w:hAnsi="Calibri"/>
          <w:b/>
          <w:bCs/>
          <w:i w:val="false"/>
          <w:iCs w:val="false"/>
          <w:sz w:val="22"/>
          <w:szCs w:val="22"/>
        </w:rPr>
        <w:t xml:space="preserve">Opdracht 1.</w:t>
      </w:r>
      <w:r>
        <w:rPr>
          <w:rFonts w:ascii="Calibri" w:cs="Calibri" w:eastAsia="Calibri" w:hAnsi="Calibri"/>
          <w:b w:val="false"/>
          <w:bCs w:val="false"/>
          <w:i w:val="false"/>
          <w:iCs w:val="false"/>
          <w:sz w:val="22"/>
          <w:szCs w:val="22"/>
        </w:rPr>
        <w:t xml:space="preserve"> Item 5 (Anw-samenloop) levert de meeste discussie op: het fonds voert de Anw niet zelf uit, dus het voelt "extern", maar de kennis erover moet wél gedeeld zijn tussen wie het reglement kent en wie het model bouwt. Dat is precies waarom "need for shared understanding" een eigen as is en niet wordt meegewogen onder domeincomplexiteit.</w:t>
      </w:r>
    </w:p>
    <w:p>
      <w:pPr>
        <w:spacing w:after="140" w:line="300"/>
      </w:pPr>
      <w:r>
        <w:rPr>
          <w:rFonts w:ascii="Calibri" w:cs="Calibri" w:eastAsia="Calibri" w:hAnsi="Calibri"/>
          <w:b/>
          <w:bCs/>
          <w:i w:val="false"/>
          <w:iCs w:val="false"/>
          <w:sz w:val="22"/>
          <w:szCs w:val="22"/>
        </w:rPr>
        <w:t xml:space="preserve">De complexiteitstoets (1:35-1:55).</w:t>
      </w:r>
      <w:r>
        <w:rPr>
          <w:rFonts w:ascii="Calibri" w:cs="Calibri" w:eastAsia="Calibri" w:hAnsi="Calibri"/>
          <w:b w:val="false"/>
          <w:bCs w:val="false"/>
          <w:i w:val="false"/>
          <w:iCs w:val="false"/>
          <w:sz w:val="22"/>
          <w:szCs w:val="22"/>
        </w:rPr>
        <w:t xml:space="preserve"> Introduceer de vier assen in volgorde en benoem uitdrukkelijk dat het vijfde veld — "dat het verschil maakt" — het veld is dat mensen willen overslaan en dat de meeste waarde levert. Dat is een terugkerend patroon in deze cursusfamilie: elk instrument heeft één veld dat de deelnemer dwingt van een score naar een concrete consequentie. Zeg dat er hardop bij.</w:t>
      </w:r>
    </w:p>
    <w:p>
      <w:pPr>
        <w:spacing w:after="140" w:line="300"/>
      </w:pPr>
      <w:r>
        <w:rPr>
          <w:rFonts w:ascii="Calibri" w:cs="Calibri" w:eastAsia="Calibri" w:hAnsi="Calibri"/>
          <w:b/>
          <w:bCs/>
          <w:i w:val="false"/>
          <w:iCs w:val="false"/>
          <w:sz w:val="22"/>
          <w:szCs w:val="22"/>
        </w:rPr>
        <w:t xml:space="preserve">Opdracht 3.</w:t>
      </w:r>
      <w:r>
        <w:rPr>
          <w:rFonts w:ascii="Calibri" w:cs="Calibri" w:eastAsia="Calibri" w:hAnsi="Calibri"/>
          <w:b w:val="false"/>
          <w:bCs w:val="false"/>
          <w:i w:val="false"/>
          <w:iCs w:val="false"/>
          <w:sz w:val="22"/>
          <w:szCs w:val="22"/>
        </w:rPr>
        <w:t xml:space="preserve"> Laat deelnemers hun ingevulde toets voorlezen, niet uitdelen. Bij een score zonder onderbouwing ("hoog" zonder reden) hoor je dat meteen. Beperk je feedback tot de vraag "wie merkt het als deze score verkeerd is" — dat forceert precisie zonder dat je de perfecte toets voorschrijft.</w:t>
      </w:r>
    </w:p>
    <w:p>
      <w:pPr>
        <w:spacing w:after="140" w:line="300"/>
      </w:pPr>
      <w:r>
        <w:rPr>
          <w:rFonts w:ascii="Calibri" w:cs="Calibri" w:eastAsia="Calibri" w:hAnsi="Calibri"/>
          <w:b/>
          <w:bCs/>
          <w:i w:val="false"/>
          <w:iCs w:val="false"/>
          <w:sz w:val="22"/>
          <w:szCs w:val="22"/>
        </w:rPr>
        <w:t xml:space="preserve">Opdracht 5 (rollenspel).</w:t>
      </w:r>
      <w:r>
        <w:rPr>
          <w:rFonts w:ascii="Calibri" w:cs="Calibri" w:eastAsia="Calibri" w:hAnsi="Calibri"/>
          <w:b w:val="false"/>
          <w:bCs w:val="false"/>
          <w:i w:val="false"/>
          <w:iCs w:val="false"/>
          <w:sz w:val="22"/>
          <w:szCs w:val="22"/>
        </w:rPr>
        <w:t xml:space="preserve"> Dit is het lastigste onderdeel om te begeleiden. Drie aanwijzingen:</w:t>
      </w:r>
    </w:p>
    <w:p>
      <w:pPr>
        <w:pStyle w:val="ListParagraph"/>
        <w:numPr>
          <w:ilvl w:val="0"/>
          <w:numId w:val="1"/>
        </w:numPr>
        <w:spacing w:after="80"/>
      </w:pPr>
      <w:r>
        <w:rPr>
          <w:rFonts w:ascii="Calibri" w:cs="Calibri" w:eastAsia="Calibri" w:hAnsi="Calibri"/>
          <w:sz w:val="22"/>
          <w:szCs w:val="22"/>
        </w:rPr>
        <w:t xml:space="preserve">Instrueer de "Willemijn"-spelers apart en kort: gebruik voorbeelden uit het casusdossier, geen abstracte argumenten. Willemijn overtuigt met een dossiernummer, niet met een principe.</w:t>
      </w:r>
    </w:p>
    <w:p>
      <w:pPr>
        <w:pStyle w:val="ListParagraph"/>
        <w:numPr>
          <w:ilvl w:val="0"/>
          <w:numId w:val="1"/>
        </w:numPr>
        <w:spacing w:after="80"/>
      </w:pPr>
      <w:r>
        <w:rPr>
          <w:rFonts w:ascii="Calibri" w:cs="Calibri" w:eastAsia="Calibri" w:hAnsi="Calibri"/>
          <w:sz w:val="22"/>
          <w:szCs w:val="22"/>
        </w:rPr>
        <w:t xml:space="preserve">Grijp niet in tijdens de acht minuten, ook niet als het gesprek vastloopt. Een gesprek waarin "Daan" zich onterecht gecorrigeerd voelt, is het beste lesmateriaal van die middag.</w:t>
      </w:r>
    </w:p>
    <w:p>
      <w:pPr>
        <w:pStyle w:val="ListParagraph"/>
        <w:numPr>
          <w:ilvl w:val="0"/>
          <w:numId w:val="1"/>
        </w:numPr>
        <w:spacing w:after="80"/>
      </w:pPr>
      <w:r>
        <w:rPr>
          <w:rFonts w:ascii="Calibri" w:cs="Calibri" w:eastAsia="Calibri" w:hAnsi="Calibri"/>
          <w:sz w:val="22"/>
          <w:szCs w:val="22"/>
        </w:rPr>
        <w:t xml:space="preserve">Bespreek na met de vraag "welk gesprek was lastiger, het zware onderdeel verdedigen of het lichte onderdeel afremmen?" — de meeste groepen ontdekken dat afremmen lastiger is, en dat inzicht is precies waar opdracht 4 op voortbouwt.</w:t>
      </w:r>
    </w:p>
    <w:p>
      <w:pPr>
        <w:spacing w:after="140" w:line="300"/>
      </w:pPr>
      <w:r>
        <w:rPr>
          <w:rFonts w:ascii="Calibri" w:cs="Calibri" w:eastAsia="Calibri" w:hAnsi="Calibri"/>
          <w:b/>
          <w:bCs/>
          <w:i w:val="false"/>
          <w:iCs w:val="false"/>
          <w:sz w:val="22"/>
          <w:szCs w:val="22"/>
        </w:rPr>
        <w:t xml:space="preserve">Opdracht 6.</w:t>
      </w:r>
      <w:r>
        <w:rPr>
          <w:rFonts w:ascii="Calibri" w:cs="Calibri" w:eastAsia="Calibri" w:hAnsi="Calibri"/>
          <w:b w:val="false"/>
          <w:bCs w:val="false"/>
          <w:i w:val="false"/>
          <w:iCs w:val="false"/>
          <w:sz w:val="22"/>
          <w:szCs w:val="22"/>
        </w:rPr>
        <w:t xml:space="preserve"> Stuur op het onderscheid tussen "mutatie" als verzamelnaam en de onderliggende variatie in complexiteit die daarachter schuilging. Als de groep blijft hangen in algemene lessen ("beter luisteren naar de business"), stel dan de vraag: "welke twee soorten mutaties in het oude portaal hadden een compleet andere complexiteitsscore gehad, en zag je dat verschil terug in hoe ze gebouwd waren?"</w:t>
      </w:r>
    </w:p>
    <w:p>
      <w:pPr>
        <w:pStyle w:val="Heading2"/>
        <w:spacing w:after="120" w:before="200"/>
      </w:pPr>
      <w:r>
        <w:rPr>
          <w:rFonts w:ascii="Georgia" w:cs="Georgia" w:eastAsia="Georgia" w:hAnsi="Georgia"/>
          <w:b/>
          <w:bCs/>
          <w:color w:val="2C5AA0"/>
          <w:sz w:val="28"/>
          <w:szCs w:val="28"/>
        </w:rPr>
        <w:t xml:space="preserve">5. Veelgemaakte fouten en hoe je erop reageert</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Wat je ziet</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Wat er speelt</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Wat je doet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Complexiteitstoets ingevuld op het hele systeem in plaats van per onderdeel</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Deelnemer denkt nog in "DDD wel/niet" als aan-uitschakelaar</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Vraag: "noem twee onderdelen van het Nabestaandenloket die niet dezelfde score zouden krijgen"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Score zonder onderbouwing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Haastwerk of onzekerheid over wat de as precies meet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Vraag naar een concreet voorbeeld uit het casusdossier bij die score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Vijfde veld leeg of algemeen ("risico op fouten")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Ontwijking van de concrete consequentie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Vraag: "wie krijgt hier als eerste een telefoontje over?"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Cynisme over "weer een sjabloon"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Beschermend, herkenbaar na WGP 2.0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Verwijs naar Rutgers uitspraak in de reader — herkenning werkt beter dan overtuigen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Deelnemer heeft het dossier niet gelezen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Komt voor</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Laat hem in een duo werken; benoem dat het vanaf deel 2 niet meer werkt</w:t>
            </w:r>
          </w:p>
        </w:tc>
      </w:tr>
    </w:tbl>
    <w:p>
      <w:pPr>
        <w:pStyle w:val="Heading2"/>
        <w:spacing w:after="120" w:before="200"/>
      </w:pPr>
      <w:r>
        <w:rPr>
          <w:rFonts w:ascii="Georgia" w:cs="Georgia" w:eastAsia="Georgia" w:hAnsi="Georgia"/>
          <w:b/>
          <w:bCs/>
          <w:color w:val="2C5AA0"/>
          <w:sz w:val="28"/>
          <w:szCs w:val="28"/>
        </w:rPr>
        <w:t xml:space="preserve">6. Beoordeling</w:t>
      </w:r>
    </w:p>
    <w:p>
      <w:pPr>
        <w:spacing w:after="140" w:line="300"/>
      </w:pPr>
      <w:r>
        <w:rPr>
          <w:rFonts w:ascii="Calibri" w:cs="Calibri" w:eastAsia="Calibri" w:hAnsi="Calibri"/>
          <w:b w:val="false"/>
          <w:bCs w:val="false"/>
          <w:i w:val="false"/>
          <w:iCs w:val="false"/>
          <w:sz w:val="22"/>
          <w:szCs w:val="22"/>
        </w:rPr>
        <w:t xml:space="preserve">Deel 1 wordt niet becijferd. Wel houd je per deelnemer bij of de complexiteitstoets uit opdracht 3 aan drie eisen voldoet; dat is het eerste ijkpunt voor de capstone in deel 10. Noteer alleen: voldoet / voldoet met hulp / voldoet niet.</w:t>
      </w:r>
    </w:p>
    <w:p>
      <w:pPr>
        <w:spacing w:after="140" w:line="300"/>
      </w:pPr>
      <w:r>
        <w:rPr>
          <w:rFonts w:ascii="Calibri" w:cs="Calibri" w:eastAsia="Calibri" w:hAnsi="Calibri"/>
          <w:b w:val="false"/>
          <w:bCs w:val="false"/>
          <w:i w:val="false"/>
          <w:iCs w:val="false"/>
          <w:sz w:val="22"/>
          <w:szCs w:val="22"/>
        </w:rPr>
        <w:t xml:space="preserve">Drie eisen, ter herinnering: elke as heeft een onderbouwing, niet alleen een score; er is een zichtbaar verschil tussen de score van het "zware" en het "lichte" onderdeel; het vijfde veld benoemt een concrete consequentie met een rol of naam erbij.</w:t>
      </w:r>
    </w:p>
    <w:p>
      <w:pPr>
        <w:pStyle w:val="Heading2"/>
        <w:spacing w:after="120" w:before="200"/>
      </w:pPr>
      <w:r>
        <w:rPr>
          <w:rFonts w:ascii="Georgia" w:cs="Georgia" w:eastAsia="Georgia" w:hAnsi="Georgia"/>
          <w:b/>
          <w:bCs/>
          <w:color w:val="2C5AA0"/>
          <w:sz w:val="28"/>
          <w:szCs w:val="28"/>
        </w:rPr>
        <w:t xml:space="preserve">7. Materiaal</w:t>
      </w:r>
    </w:p>
    <w:p>
      <w:pPr>
        <w:pStyle w:val="ListParagraph"/>
        <w:numPr>
          <w:ilvl w:val="0"/>
          <w:numId w:val="1"/>
        </w:numPr>
        <w:spacing w:after="80"/>
      </w:pPr>
      <w:r>
        <w:rPr>
          <w:rFonts w:ascii="Calibri" w:cs="Calibri" w:eastAsia="Calibri" w:hAnsi="Calibri"/>
          <w:sz w:val="22"/>
          <w:szCs w:val="22"/>
        </w:rPr>
        <w:t xml:space="preserve">Casusdossier niveau 1 (vooraf verstrekt)</w:t>
      </w:r>
    </w:p>
    <w:p>
      <w:pPr>
        <w:pStyle w:val="ListParagraph"/>
        <w:numPr>
          <w:ilvl w:val="0"/>
          <w:numId w:val="1"/>
        </w:numPr>
        <w:spacing w:after="80"/>
      </w:pPr>
      <w:r>
        <w:rPr>
          <w:rFonts w:ascii="Calibri" w:cs="Calibri" w:eastAsia="Calibri" w:hAnsi="Calibri"/>
          <w:sz w:val="22"/>
          <w:szCs w:val="22"/>
        </w:rPr>
        <w:t xml:space="preserve">Werkboek deel 1, inclusief dossierstukken 1-A en 1-B</w:t>
      </w:r>
    </w:p>
    <w:p>
      <w:pPr>
        <w:pStyle w:val="ListParagraph"/>
        <w:numPr>
          <w:ilvl w:val="0"/>
          <w:numId w:val="1"/>
        </w:numPr>
        <w:spacing w:after="80"/>
      </w:pPr>
      <w:r>
        <w:rPr>
          <w:rFonts w:ascii="Calibri" w:cs="Calibri" w:eastAsia="Calibri" w:hAnsi="Calibri"/>
          <w:sz w:val="22"/>
          <w:szCs w:val="22"/>
        </w:rPr>
        <w:t xml:space="preserve">Slidedeck deel 1</w:t>
      </w:r>
    </w:p>
    <w:p>
      <w:pPr>
        <w:pStyle w:val="ListParagraph"/>
        <w:numPr>
          <w:ilvl w:val="0"/>
          <w:numId w:val="1"/>
        </w:numPr>
        <w:spacing w:after="80"/>
      </w:pPr>
      <w:r>
        <w:rPr>
          <w:rFonts w:ascii="Calibri" w:cs="Calibri" w:eastAsia="Calibri" w:hAnsi="Calibri"/>
          <w:sz w:val="22"/>
          <w:szCs w:val="22"/>
        </w:rPr>
        <w:t xml:space="preserve">Flap-over voor de openingsvraag (bewaren tot deel 10)</w:t>
      </w:r>
    </w:p>
    <w:p>
      <w:pPr>
        <w:pStyle w:val="ListParagraph"/>
        <w:numPr>
          <w:ilvl w:val="0"/>
          <w:numId w:val="1"/>
        </w:numPr>
        <w:spacing w:after="80"/>
      </w:pPr>
      <w:r>
        <w:rPr>
          <w:rFonts w:ascii="Calibri" w:cs="Calibri" w:eastAsia="Calibri" w:hAnsi="Calibri"/>
          <w:sz w:val="22"/>
          <w:szCs w:val="22"/>
        </w:rPr>
        <w:t xml:space="preserve">Blanco complexiteitstoets-invulbladen, minstens twee per deelnemer</w:t>
      </w:r>
    </w:p>
    <w:p>
      <w:pPr>
        <w:pStyle w:val="Heading2"/>
        <w:spacing w:after="120" w:before="200"/>
      </w:pPr>
      <w:r>
        <w:rPr>
          <w:rFonts w:ascii="Georgia" w:cs="Georgia" w:eastAsia="Georgia" w:hAnsi="Georgia"/>
          <w:b/>
          <w:bCs/>
          <w:color w:val="2C5AA0"/>
          <w:sz w:val="28"/>
          <w:szCs w:val="28"/>
        </w:rPr>
        <w:t xml:space="preserve">8. Aantekeningen voor de docent over de examenlijn</w:t>
      </w:r>
    </w:p>
    <w:p>
      <w:pPr>
        <w:spacing w:after="140" w:line="300"/>
      </w:pPr>
      <w:r>
        <w:rPr>
          <w:rFonts w:ascii="Calibri" w:cs="Calibri" w:eastAsia="Calibri" w:hAnsi="Calibri"/>
          <w:b w:val="false"/>
          <w:bCs w:val="false"/>
          <w:i w:val="false"/>
          <w:iCs w:val="false"/>
          <w:sz w:val="22"/>
          <w:szCs w:val="22"/>
        </w:rPr>
        <w:t xml:space="preserve">Deelnemers vragen in deel 1 vrijwel altijd naar de certificering. Wees hier precies, want onjuiste verwachtingen kosten later vertrouwen:</w:t>
      </w:r>
    </w:p>
    <w:p>
      <w:pPr>
        <w:pStyle w:val="ListParagraph"/>
        <w:numPr>
          <w:ilvl w:val="0"/>
          <w:numId w:val="1"/>
        </w:numPr>
        <w:spacing w:after="80"/>
      </w:pPr>
      <w:r>
        <w:rPr>
          <w:rFonts w:ascii="Calibri" w:cs="Calibri" w:eastAsia="Calibri" w:hAnsi="Calibri"/>
          <w:sz w:val="22"/>
          <w:szCs w:val="22"/>
        </w:rPr>
        <w:t xml:space="preserve">De iSAQB Advanced-module Domain-Driven Design levert zelf geen zelfstandig certificaat op. Ze levert 30 credit points (20 methodologisch, 10 communicatief) die meetellen voor CPSA-Advanced Level (CPSA-A).</w:t>
      </w:r>
    </w:p>
    <w:p>
      <w:pPr>
        <w:pStyle w:val="ListParagraph"/>
        <w:numPr>
          <w:ilvl w:val="0"/>
          <w:numId w:val="1"/>
        </w:numPr>
        <w:spacing w:after="80"/>
      </w:pPr>
      <w:r>
        <w:rPr>
          <w:rFonts w:ascii="Calibri" w:cs="Calibri" w:eastAsia="Calibri" w:hAnsi="Calibri"/>
          <w:sz w:val="22"/>
          <w:szCs w:val="22"/>
        </w:rPr>
        <w:t xml:space="preserve">Wie CPSA-A wil behalen, heeft naast deze module ook nog een module uit het technologiegebied nodig (typisch behandeld in de softwarearchitectuurcursus) om aan de eis van drie competentiegebieden te voldoen.</w:t>
      </w:r>
    </w:p>
    <w:p>
      <w:pPr>
        <w:pStyle w:val="ListParagraph"/>
        <w:numPr>
          <w:ilvl w:val="0"/>
          <w:numId w:val="1"/>
        </w:numPr>
        <w:spacing w:after="80"/>
      </w:pPr>
      <w:r>
        <w:rPr>
          <w:rFonts w:ascii="Calibri" w:cs="Calibri" w:eastAsia="Calibri" w:hAnsi="Calibri"/>
          <w:sz w:val="22"/>
          <w:szCs w:val="22"/>
        </w:rPr>
        <w:t xml:space="preserve">Toelating tot de officiële module vereist CPSA-F plus minimaal drie jaar fulltime IT-ervaring met betrokkenheid bij het ontwerp en de bouw van minstens twee verschillende systemen. Vertel dit in deel 1, niet pas later.</w:t>
      </w:r>
    </w:p>
    <w:p>
      <w:pPr>
        <w:pStyle w:val="ListParagraph"/>
        <w:numPr>
          <w:ilvl w:val="0"/>
          <w:numId w:val="1"/>
        </w:numPr>
        <w:spacing w:after="80"/>
      </w:pPr>
      <w:r>
        <w:rPr>
          <w:rFonts w:ascii="Calibri" w:cs="Calibri" w:eastAsia="Calibri" w:hAnsi="Calibri"/>
          <w:sz w:val="22"/>
          <w:szCs w:val="22"/>
        </w:rPr>
        <w:t xml:space="preserve">Deze cursus is voorbereiding en geen vervanging van een erkende training. Credit points zijn alleen te verzilveren via een door iSAQB erkende trainingsprovider — noem dit expliciet zodat niemand denkt dat het volgen van deze cursus alléén al punten oplevert.</w:t>
      </w:r>
    </w:p>
    <w:p>
      <w:pPr>
        <w:pStyle w:val="ListParagraph"/>
        <w:numPr>
          <w:ilvl w:val="0"/>
          <w:numId w:val="1"/>
        </w:numPr>
        <w:spacing w:after="80"/>
      </w:pPr>
      <w:r>
        <w:rPr>
          <w:rFonts w:ascii="Calibri" w:cs="Calibri" w:eastAsia="Calibri" w:hAnsi="Calibri"/>
          <w:sz w:val="22"/>
          <w:szCs w:val="22"/>
        </w:rPr>
        <w:t xml:space="preserve">Noem geen slagingspercentage voor het uiteindelijke CPSA-A-examen; dat is een losstaande, zwaar individuele capstone-opdracht en geen module-toets.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Domain-Driven Design · Niveau 1 · Deel 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2026-08-16T19:17:58.734Z</dcterms:created>
  <dcterms:modified xsi:type="dcterms:W3CDTF">2026-08-16T19:17:58.734Z</dcterms:modified>
</cp:coreProperties>
</file>

<file path=docProps/custom.xml><?xml version="1.0" encoding="utf-8"?>
<Properties xmlns="http://schemas.openxmlformats.org/officeDocument/2006/custom-properties" xmlns:vt="http://schemas.openxmlformats.org/officeDocument/2006/docPropsVTypes"/>
</file>