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 — Wat DDD is, en wanneer je het niet nodig hebt</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1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1-A — Uit het overdrachtslogboek van Nabestaandenzaken (fragment)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**Dossier 4471.** Melding overlijden via BRP-signaal, 14 dagen geleden. Bij intake bleek dat de deelnemer op het moment van overlijden gescheiden was van zijn eerste partner, met wie in 2011 een bijzonder partnerpensioen was afgesplitst (dossier niet digitaal, alleen papieren archief Zwolle gevonden). Huidige partner (samenwonend, notarieel contract, wél aangemeld bij Meridiaan in 2019) heeft ondertussen ook een aanvraag ingediend. Berekening van het "gewone" partnerpensioen kan pas na aftrek van het bijzondere deel — bedrag nog niet bekend, wacht op reconstructie uit archief. Nabestaande belt inmiddels drie keer per week.</w:t>
            </w:r>
          </w:p>
          <w:p>
            <w:pPr>
              <w:spacing w:after="100" w:line="280"/>
            </w:pPr>
            <w:r>
              <w:rPr>
                <w:rFonts w:ascii="Calibri" w:cs="Calibri" w:eastAsia="Calibri" w:hAnsi="Calibri"/>
                <w:i/>
                <w:iCs/>
                <w:sz w:val="22"/>
                <w:szCs w:val="22"/>
              </w:rPr>
              <w:t xml:space="preserve">**Dossier 4483.** Adreswijziging doorgegeven door nabestaande (verhuizing na overlijden). Verwerkt binnen een dag, geen bijzonderheden.</w:t>
            </w:r>
          </w:p>
          <w:p>
            <w:pPr>
              <w:spacing w:after="100" w:line="280"/>
            </w:pPr>
            <w:r>
              <w:rPr>
                <w:rFonts w:ascii="Calibri" w:cs="Calibri" w:eastAsia="Calibri" w:hAnsi="Calibri"/>
                <w:i/>
                <w:iCs/>
                <w:sz w:val="22"/>
                <w:szCs w:val="22"/>
              </w:rPr>
              <w:t xml:space="preserve">**Dossier 4490.** Melding overlijden, deelnemer had geen partner in de zin van het reglement (nooit getrouwd, geen samenlevingscontract). Nabestaande partner (ex-samenwonend, 22 jaar) belt en vraagt waarom er geen uitkering komt. Geen fout in het systeem — het reglement voorziet hier simpelweg niet in — maar het gesprek moet zorgvuldig gevoerd worden.</w:t>
            </w:r>
          </w:p>
        </w:tc>
      </w:tr>
    </w:tbl>
    <w:p>
      <w:pPr>
        <w:pStyle w:val="Heading2"/>
        <w:spacing w:after="120" w:before="200"/>
      </w:pPr>
      <w:r>
        <w:rPr>
          <w:rFonts w:ascii="Georgia" w:cs="Georgia" w:eastAsia="Georgia" w:hAnsi="Georgia"/>
          <w:b/>
          <w:bCs/>
          <w:color w:val="2C5AA0"/>
          <w:sz w:val="28"/>
          <w:szCs w:val="28"/>
        </w:rPr>
        <w:t xml:space="preserve">Dossierstuk 1-B — Drie uitspraken uit de eerste teamsessie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**Willemijn Brugman:** "Ik zie mensen jaarlijks één keer 'even snel' een DDD-achtig model optuigen voor iets wat gewoon een lijstje is. En ik zie ze de regels rond samenloop in een simpel Ja/Nee-veld proppen. Allebei kost het me tijd om achteraf uit te leggen wat er nou eigenlijk bedoeld werd."</w:t>
            </w:r>
          </w:p>
          <w:p>
            <w:pPr>
              <w:spacing w:after="100" w:line="280"/>
            </w:pPr>
            <w:r>
              <w:rPr>
                <w:rFonts w:ascii="Calibri" w:cs="Calibri" w:eastAsia="Calibri" w:hAnsi="Calibri"/>
                <w:i/>
                <w:iCs/>
                <w:sz w:val="22"/>
                <w:szCs w:val="22"/>
              </w:rPr>
              <w:t xml:space="preserve">**Rutger Zeeman:** "Bij het oude portaal hadden we een tabel met een kolom 'partnertype' met vier waarden. Toen kwam de vijfde situatie — twee partners tegelijk — en toen moest er een nieuwe kolom bij, en toen een vlag om aan te geven welke kolom leidend was. Zo bouw je een ramp, één regel per keer."</w:t>
            </w:r>
          </w:p>
          <w:p>
            <w:pPr>
              <w:spacing w:after="100" w:line="280"/>
            </w:pPr>
            <w:r>
              <w:rPr>
                <w:rFonts w:ascii="Calibri" w:cs="Calibri" w:eastAsia="Calibri" w:hAnsi="Calibri"/>
                <w:i/>
                <w:iCs/>
                <w:sz w:val="22"/>
                <w:szCs w:val="22"/>
              </w:rPr>
              <w:t xml:space="preserve">**Tijmen Oosterhuis:** "Het MT heeft ons niet gevraagd om overal DDD op los te laten. Ze hebben ons gevraagd om dit keer vooraf na te denken in plaats van achteraf op te ruimen."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Domeinonderdeel of niet? (15 min)</w:t>
      </w:r>
    </w:p>
    <w:p>
      <w:pPr>
        <w:spacing w:after="140" w:line="300"/>
      </w:pPr>
      <w:r>
        <w:rPr>
          <w:rFonts w:ascii="Calibri" w:cs="Calibri" w:eastAsia="Calibri" w:hAnsi="Calibri"/>
          <w:b w:val="false"/>
          <w:bCs w:val="false"/>
          <w:i w:val="false"/>
          <w:iCs w:val="false"/>
          <w:sz w:val="22"/>
          <w:szCs w:val="22"/>
        </w:rPr>
        <w:t xml:space="preserve">Beoordeel per onderdeel van het Nabestaandenloket kort of het waarschijnlijk hoog of laag scoort op </w:t>
      </w:r>
      <w:r>
        <w:rPr>
          <w:rFonts w:ascii="Calibri" w:cs="Calibri" w:eastAsia="Calibri" w:hAnsi="Calibri"/>
          <w:b/>
          <w:bCs/>
          <w:i w:val="false"/>
          <w:iCs w:val="false"/>
          <w:sz w:val="22"/>
          <w:szCs w:val="22"/>
        </w:rPr>
        <w:t xml:space="preserve">domeincomplexiteit</w:t>
      </w:r>
      <w:r>
        <w:rPr>
          <w:rFonts w:ascii="Calibri" w:cs="Calibri" w:eastAsia="Calibri" w:hAnsi="Calibri"/>
          <w:b w:val="false"/>
          <w:bCs w:val="false"/>
          <w:i w:val="false"/>
          <w:iCs w:val="false"/>
          <w:sz w:val="22"/>
          <w:szCs w:val="22"/>
        </w:rPr>
        <w:t xml:space="preserve">, en waarom.</w:t>
      </w:r>
    </w:p>
    <w:p>
      <w:pPr>
        <w:pStyle w:val="ListParagraph"/>
        <w:numPr>
          <w:ilvl w:val="0"/>
          <w:numId w:val="1"/>
        </w:numPr>
        <w:spacing w:after="80"/>
      </w:pPr>
      <w:r>
        <w:rPr>
          <w:rFonts w:ascii="Calibri" w:cs="Calibri" w:eastAsia="Calibri" w:hAnsi="Calibri"/>
          <w:sz w:val="22"/>
          <w:szCs w:val="22"/>
        </w:rPr>
        <w:t xml:space="preserve">Vaststellen of iemand partner is in de zin van het reglement, inclusief samenloop met een ex-partner.</w:t>
      </w:r>
    </w:p>
    <w:p>
      <w:pPr>
        <w:pStyle w:val="ListParagraph"/>
        <w:numPr>
          <w:ilvl w:val="0"/>
          <w:numId w:val="1"/>
        </w:numPr>
        <w:spacing w:after="80"/>
      </w:pPr>
      <w:r>
        <w:rPr>
          <w:rFonts w:ascii="Calibri" w:cs="Calibri" w:eastAsia="Calibri" w:hAnsi="Calibri"/>
          <w:sz w:val="22"/>
          <w:szCs w:val="22"/>
        </w:rPr>
        <w:t xml:space="preserve">Het versturen van een standaard ontvangstbevestiging na een melding van overlijden.</w:t>
      </w:r>
    </w:p>
    <w:p>
      <w:pPr>
        <w:pStyle w:val="ListParagraph"/>
        <w:numPr>
          <w:ilvl w:val="0"/>
          <w:numId w:val="1"/>
        </w:numPr>
        <w:spacing w:after="80"/>
      </w:pPr>
      <w:r>
        <w:rPr>
          <w:rFonts w:ascii="Calibri" w:cs="Calibri" w:eastAsia="Calibri" w:hAnsi="Calibri"/>
          <w:sz w:val="22"/>
          <w:szCs w:val="22"/>
        </w:rPr>
        <w:t xml:space="preserve">Berekenen van het wezenpensioen inclusief de "volle wees"-verdubbeling.</w:t>
      </w:r>
    </w:p>
    <w:p>
      <w:pPr>
        <w:pStyle w:val="ListParagraph"/>
        <w:numPr>
          <w:ilvl w:val="0"/>
          <w:numId w:val="1"/>
        </w:numPr>
        <w:spacing w:after="80"/>
      </w:pPr>
      <w:r>
        <w:rPr>
          <w:rFonts w:ascii="Calibri" w:cs="Calibri" w:eastAsia="Calibri" w:hAnsi="Calibri"/>
          <w:sz w:val="22"/>
          <w:szCs w:val="22"/>
        </w:rPr>
        <w:t xml:space="preserve">Het opslaan van een geüpload document (bijvoorbeeld een overlijdensakte) bij een dossier.</w:t>
      </w:r>
    </w:p>
    <w:p>
      <w:pPr>
        <w:pStyle w:val="ListParagraph"/>
        <w:numPr>
          <w:ilvl w:val="0"/>
          <w:numId w:val="1"/>
        </w:numPr>
        <w:spacing w:after="80"/>
      </w:pPr>
      <w:r>
        <w:rPr>
          <w:rFonts w:ascii="Calibri" w:cs="Calibri" w:eastAsia="Calibri" w:hAnsi="Calibri"/>
          <w:sz w:val="22"/>
          <w:szCs w:val="22"/>
        </w:rPr>
        <w:t xml:space="preserve">Bepalen of een lopende Anw-uitkering van de nabestaande de eigen uitkering beïnvloedt.</w:t>
      </w:r>
    </w:p>
    <w:p>
      <w:pPr>
        <w:pStyle w:val="ListParagraph"/>
        <w:numPr>
          <w:ilvl w:val="0"/>
          <w:numId w:val="1"/>
        </w:numPr>
        <w:spacing w:after="80"/>
      </w:pPr>
      <w:r>
        <w:rPr>
          <w:rFonts w:ascii="Calibri" w:cs="Calibri" w:eastAsia="Calibri" w:hAnsi="Calibri"/>
          <w:sz w:val="22"/>
          <w:szCs w:val="22"/>
        </w:rPr>
        <w:t xml:space="preserve">Het wijzigen van het correspondentieadres van een nabestaande.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Lees het overdrachtslogboek (20 min)</w:t>
      </w:r>
    </w:p>
    <w:p>
      <w:pPr>
        <w:spacing w:after="140" w:line="300"/>
      </w:pPr>
      <w:r>
        <w:rPr>
          <w:rFonts w:ascii="Calibri" w:cs="Calibri" w:eastAsia="Calibri" w:hAnsi="Calibri"/>
          <w:b w:val="false"/>
          <w:bCs w:val="false"/>
          <w:i w:val="false"/>
          <w:iCs w:val="false"/>
          <w:sz w:val="22"/>
          <w:szCs w:val="22"/>
        </w:rPr>
        <w:t xml:space="preserve">Lees dossierstuk 1-A. Beantwoord:</w:t>
      </w:r>
    </w:p>
    <w:p>
      <w:pPr>
        <w:spacing w:after="140" w:line="300"/>
      </w:pPr>
      <w:r>
        <w:rPr>
          <w:rFonts w:ascii="Calibri" w:cs="Calibri" w:eastAsia="Calibri" w:hAnsi="Calibri"/>
          <w:b w:val="false"/>
          <w:bCs w:val="false"/>
          <w:i w:val="false"/>
          <w:iCs w:val="false"/>
          <w:sz w:val="22"/>
          <w:szCs w:val="22"/>
        </w:rPr>
        <w:t xml:space="preserve">a. Welk dossier zou bij de complexiteitstoets waarschijnlijk hoog scoren op alle vier de assen? Onderbouw met minstens twee assen expliciet.</w:t>
      </w:r>
      <w:r>
        <w:rPr>
          <w:rFonts w:ascii="Calibri" w:cs="Calibri" w:eastAsia="Calibri" w:hAnsi="Calibri"/>
          <w:b w:val="false"/>
          <w:bCs w:val="false"/>
          <w:i w:val="false"/>
          <w:iCs w:val="false"/>
          <w:sz w:val="22"/>
          <w:szCs w:val="22"/>
        </w:rPr>
        <w:t xml:space="preserve">b. Welk dossier scoort laag op vrijwel alle assen? Wat maakt dat je dat kunt zien zonder verdere informatie?</w:t>
      </w:r>
      <w:r>
        <w:rPr>
          <w:rFonts w:ascii="Calibri" w:cs="Calibri" w:eastAsia="Calibri" w:hAnsi="Calibri"/>
          <w:b w:val="false"/>
          <w:bCs w:val="false"/>
          <w:i w:val="false"/>
          <w:iCs w:val="false"/>
          <w:sz w:val="22"/>
          <w:szCs w:val="22"/>
        </w:rPr>
        <w:t xml:space="preserve">c. Dossier 4490 is inhoudelijk niet gecompliceerd (het reglement is duidelijk: geen partner, geen recht), maar één as scoort daar toch hoger dan je op het eerste gezicht zou verwachten. Welke as, en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Voer de complexiteitstoets uit (25 min)</w:t>
      </w:r>
    </w:p>
    <w:p>
      <w:pPr>
        <w:spacing w:after="140" w:line="300"/>
      </w:pPr>
      <w:r>
        <w:rPr>
          <w:rFonts w:ascii="Calibri" w:cs="Calibri" w:eastAsia="Calibri" w:hAnsi="Calibri"/>
          <w:b w:val="false"/>
          <w:bCs w:val="false"/>
          <w:i w:val="false"/>
          <w:iCs w:val="false"/>
          <w:sz w:val="22"/>
          <w:szCs w:val="22"/>
        </w:rPr>
        <w:t xml:space="preserve">Kies twee onderdelen van het Nabestaandenloket: één die je zelf inschat als "zwaar" en één die je inschat als "licht" (je mag onderdelen uit opdracht 1 hergebruiken of eigen onderdelen bedenken op basis van het casusdossier). Vul voor beide de complexiteitstoets volledig in: alle vier de assen met een korte onderbouwing,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verkeerde inschatting (15 min)</w:t>
      </w:r>
    </w:p>
    <w:p>
      <w:pPr>
        <w:spacing w:after="140" w:line="300"/>
      </w:pPr>
      <w:r>
        <w:rPr>
          <w:rFonts w:ascii="Calibri" w:cs="Calibri" w:eastAsia="Calibri" w:hAnsi="Calibri"/>
          <w:b w:val="false"/>
          <w:bCs w:val="false"/>
          <w:i w:val="false"/>
          <w:iCs w:val="false"/>
          <w:sz w:val="22"/>
          <w:szCs w:val="22"/>
        </w:rPr>
        <w:t xml:space="preserve">Kies één van je twee onderdelen uit opdracht 3. Beschrijf in een paar zinnen wat er concreet misgaat als het team de inschatting omdraait: het "zware" onderdeel toch plat modelleren, of het "lichte" onderdeel toch met de volle DDD-gereedschapskist te lijf gaan. Benoem bij beide wie het probleem als eerste zou merken.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met Daan (30 min, tweetallen)</w:t>
      </w:r>
    </w:p>
    <w:p>
      <w:pPr>
        <w:spacing w:after="140" w:line="300"/>
      </w:pPr>
      <w:r>
        <w:rPr>
          <w:rFonts w:ascii="Calibri" w:cs="Calibri" w:eastAsia="Calibri" w:hAnsi="Calibri"/>
          <w:b w:val="false"/>
          <w:bCs w:val="false"/>
          <w:i w:val="false"/>
          <w:iCs w:val="false"/>
          <w:sz w:val="22"/>
          <w:szCs w:val="22"/>
        </w:rPr>
        <w:t xml:space="preserve">Eén van jullie is Daan, vlak na zijn uitspraak "dat is in de kern een CRUD-systeem, dat bouw ik in twee weken". De ander is Willemijn. Willemijn heeft acht minuten om Daan, zonder hem af te vallen, tot een eerlijke complexiteitstoets van het onderdeel "vaststellen recht op partnerpensioen" te brengen.</w:t>
      </w:r>
    </w:p>
    <w:p>
      <w:pPr>
        <w:spacing w:after="140" w:line="300"/>
      </w:pPr>
      <w:r>
        <w:rPr>
          <w:rFonts w:ascii="Calibri" w:cs="Calibri" w:eastAsia="Calibri" w:hAnsi="Calibri"/>
          <w:b w:val="false"/>
          <w:bCs w:val="false"/>
          <w:i w:val="false"/>
          <w:iCs w:val="false"/>
          <w:sz w:val="22"/>
          <w:szCs w:val="22"/>
        </w:rPr>
        <w:t xml:space="preserve">Wissel daarna van rol met een nieuw onderwerp: Daan stelt nu voor om ook het bijhouden van correspondentieadressen met een uitgebreid domeinmodel te bouwen, "voor de consistentie". Willemijn moet hem er nu van weerhouden zonder het gevoel te geven dat zorgvuldigheid niet gewaardeerd wordt.</w:t>
      </w:r>
    </w:p>
    <w:p>
      <w:pPr>
        <w:spacing w:after="140" w:line="300"/>
      </w:pPr>
      <w:r>
        <w:rPr>
          <w:rFonts w:ascii="Calibri" w:cs="Calibri" w:eastAsia="Calibri" w:hAnsi="Calibri"/>
          <w:b w:val="false"/>
          <w:bCs w:val="false"/>
          <w:i w:val="false"/>
          <w:iCs w:val="false"/>
          <w:sz w:val="22"/>
          <w:szCs w:val="22"/>
        </w:rPr>
        <w:t xml:space="preserve">Bespreek na afloop met z'n tweeën: bij welk van de twee gesprekken was het lastiger om de ander te overtuigen, en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les van WGP 2.0 (20 min, plenair)</w:t>
      </w:r>
    </w:p>
    <w:p>
      <w:pPr>
        <w:spacing w:after="140" w:line="300"/>
      </w:pPr>
      <w:r>
        <w:rPr>
          <w:rFonts w:ascii="Calibri" w:cs="Calibri" w:eastAsia="Calibri" w:hAnsi="Calibri"/>
          <w:b w:val="false"/>
          <w:bCs w:val="false"/>
          <w:i w:val="false"/>
          <w:iCs w:val="false"/>
          <w:sz w:val="22"/>
          <w:szCs w:val="22"/>
        </w:rPr>
        <w:t xml:space="preserve">Formuleer gezamenlijk in maximaal vijf zinnen het antwoord op de vraag: </w:t>
      </w:r>
      <w:r>
        <w:rPr>
          <w:rFonts w:ascii="Calibri" w:cs="Calibri" w:eastAsia="Calibri" w:hAnsi="Calibri"/>
          <w:b w:val="false"/>
          <w:bCs w:val="false"/>
          <w:i/>
          <w:iCs/>
          <w:sz w:val="22"/>
          <w:szCs w:val="22"/>
        </w:rPr>
        <w:t xml:space="preserve">als het WGP 2.0-team de complexiteitstoets had gebruikt vóór de bouw, wat had dat waarschijnlijk veranderd aan de aanpak?</w:t>
      </w:r>
      <w:r>
        <w:rPr>
          <w:rFonts w:ascii="Calibri" w:cs="Calibri" w:eastAsia="Calibri" w:hAnsi="Calibri"/>
          <w:b w:val="false"/>
          <w:bCs w:val="false"/>
          <w:i w:val="false"/>
          <w:iCs w:val="false"/>
          <w:sz w:val="22"/>
          <w:szCs w:val="22"/>
        </w:rPr>
        <w:t xml:space="preserve">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**Hoog.** Meerdere reglementbepalingen tegelijk (huwelijk, geregistreerd partnerschap, samenwonen met aanmelding), plus de aftrek bij een bijzonder partnerpensioen — regels die elkaar onderling raken.</w:t>
      </w:r>
    </w:p>
    <w:p>
      <w:pPr>
        <w:pStyle w:val="ListParagraph"/>
        <w:numPr>
          <w:ilvl w:val="0"/>
          <w:numId w:val="1"/>
        </w:numPr>
        <w:spacing w:after="80"/>
      </w:pPr>
      <w:r>
        <w:rPr>
          <w:rFonts w:ascii="Calibri" w:cs="Calibri" w:eastAsia="Calibri" w:hAnsi="Calibri"/>
          <w:sz w:val="22"/>
          <w:szCs w:val="22"/>
        </w:rPr>
        <w:t xml:space="preserve">**Laag.** Eén vast bericht, geen inhoudelijke beoordeling.</w:t>
      </w:r>
    </w:p>
    <w:p>
      <w:pPr>
        <w:pStyle w:val="ListParagraph"/>
        <w:numPr>
          <w:ilvl w:val="0"/>
          <w:numId w:val="1"/>
        </w:numPr>
        <w:spacing w:after="80"/>
      </w:pPr>
      <w:r>
        <w:rPr>
          <w:rFonts w:ascii="Calibri" w:cs="Calibri" w:eastAsia="Calibri" w:hAnsi="Calibri"/>
          <w:sz w:val="22"/>
          <w:szCs w:val="22"/>
        </w:rPr>
        <w:t xml:space="preserve">**Hoog tot gemiddeld-hoog.** Een eigen rekenregel met een uitzondering (volle wees), maar minder vertakt dan de partnervaststelling.</w:t>
      </w:r>
    </w:p>
    <w:p>
      <w:pPr>
        <w:pStyle w:val="ListParagraph"/>
        <w:numPr>
          <w:ilvl w:val="0"/>
          <w:numId w:val="1"/>
        </w:numPr>
        <w:spacing w:after="80"/>
      </w:pPr>
      <w:r>
        <w:rPr>
          <w:rFonts w:ascii="Calibri" w:cs="Calibri" w:eastAsia="Calibri" w:hAnsi="Calibri"/>
          <w:sz w:val="22"/>
          <w:szCs w:val="22"/>
        </w:rPr>
        <w:t xml:space="preserve">**Laag.** Puur technisch: opslag en koppeling aan een dossier, geen domeinregels over de inhoud van het document zelf.</w:t>
      </w:r>
    </w:p>
    <w:p>
      <w:pPr>
        <w:pStyle w:val="ListParagraph"/>
        <w:numPr>
          <w:ilvl w:val="0"/>
          <w:numId w:val="1"/>
        </w:numPr>
        <w:spacing w:after="80"/>
      </w:pPr>
      <w:r>
        <w:rPr>
          <w:rFonts w:ascii="Calibri" w:cs="Calibri" w:eastAsia="Calibri" w:hAnsi="Calibri"/>
          <w:sz w:val="22"/>
          <w:szCs w:val="22"/>
        </w:rPr>
        <w:t xml:space="preserve">**Gemiddeld tot hoog.** Het fonds hoeft de Anw niet zelf uit te voeren, maar moet wel weten wanneer en hoe die uitkering de eigen berekening raakt — dat is inhoudelijke kennis, geen technische lastigheid.</w:t>
      </w:r>
    </w:p>
    <w:p>
      <w:pPr>
        <w:pStyle w:val="ListParagraph"/>
        <w:numPr>
          <w:ilvl w:val="0"/>
          <w:numId w:val="1"/>
        </w:numPr>
        <w:spacing w:after="80"/>
      </w:pPr>
      <w:r>
        <w:rPr>
          <w:rFonts w:ascii="Calibri" w:cs="Calibri" w:eastAsia="Calibri" w:hAnsi="Calibri"/>
          <w:sz w:val="22"/>
          <w:szCs w:val="22"/>
        </w:rPr>
        <w:t xml:space="preserve">**Laag.** Eén veld bijwerken, geen afhankelijkheden met andere regels.</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w:t>
      </w:r>
      <w:r>
        <w:rPr>
          <w:rFonts w:ascii="Calibri" w:cs="Calibri" w:eastAsia="Calibri" w:hAnsi="Calibri"/>
          <w:b/>
          <w:bCs/>
          <w:i w:val="false"/>
          <w:iCs w:val="false"/>
          <w:sz w:val="22"/>
          <w:szCs w:val="22"/>
        </w:rPr>
        <w:t xml:space="preserve">Dossier 4471.</w:t>
      </w:r>
      <w:r>
        <w:rPr>
          <w:rFonts w:ascii="Calibri" w:cs="Calibri" w:eastAsia="Calibri" w:hAnsi="Calibri"/>
          <w:b w:val="false"/>
          <w:bCs w:val="false"/>
          <w:i w:val="false"/>
          <w:iCs w:val="false"/>
          <w:sz w:val="22"/>
          <w:szCs w:val="22"/>
        </w:rPr>
        <w:t xml:space="preserve"> Hoge domeincomplexiteit (samenloop van twee mogelijke partners plus een historische aftrek), hoge need for shared understanding (Willemijn, het archief in Zwolle en uiteindelijk ook Saïda moeten het eens worden over wat er precies berekend wordt voordat er iets wordt uitgekeerd).</w:t>
      </w:r>
    </w:p>
    <w:p>
      <w:pPr>
        <w:spacing w:after="140" w:line="300"/>
      </w:pPr>
      <w:r>
        <w:rPr>
          <w:rFonts w:ascii="Calibri" w:cs="Calibri" w:eastAsia="Calibri" w:hAnsi="Calibri"/>
          <w:b w:val="false"/>
          <w:bCs w:val="false"/>
          <w:i w:val="false"/>
          <w:iCs w:val="false"/>
          <w:sz w:val="22"/>
          <w:szCs w:val="22"/>
        </w:rPr>
        <w:t xml:space="preserve">b. </w:t>
      </w:r>
      <w:r>
        <w:rPr>
          <w:rFonts w:ascii="Calibri" w:cs="Calibri" w:eastAsia="Calibri" w:hAnsi="Calibri"/>
          <w:b/>
          <w:bCs/>
          <w:i w:val="false"/>
          <w:iCs w:val="false"/>
          <w:sz w:val="22"/>
          <w:szCs w:val="22"/>
        </w:rPr>
        <w:t xml:space="preserve">Dossier 4483.</w:t>
      </w:r>
      <w:r>
        <w:rPr>
          <w:rFonts w:ascii="Calibri" w:cs="Calibri" w:eastAsia="Calibri" w:hAnsi="Calibri"/>
          <w:b w:val="false"/>
          <w:bCs w:val="false"/>
          <w:i w:val="false"/>
          <w:iCs w:val="false"/>
          <w:sz w:val="22"/>
          <w:szCs w:val="22"/>
        </w:rPr>
        <w:t xml:space="preserve"> Eén simpele mutatie, geen enkele vertakking, direct binnen een dag afgehandeld zonder ruggespraak.</w:t>
      </w:r>
    </w:p>
    <w:p>
      <w:pPr>
        <w:spacing w:after="140" w:line="300"/>
      </w:pPr>
      <w:r>
        <w:rPr>
          <w:rFonts w:ascii="Calibri" w:cs="Calibri" w:eastAsia="Calibri" w:hAnsi="Calibri"/>
          <w:b w:val="false"/>
          <w:bCs w:val="false"/>
          <w:i w:val="false"/>
          <w:iCs w:val="false"/>
          <w:sz w:val="22"/>
          <w:szCs w:val="22"/>
        </w:rPr>
        <w:t xml:space="preserve">c. </w:t>
      </w:r>
      <w:r>
        <w:rPr>
          <w:rFonts w:ascii="Calibri" w:cs="Calibri" w:eastAsia="Calibri" w:hAnsi="Calibri"/>
          <w:b/>
          <w:bCs/>
          <w:i w:val="false"/>
          <w:iCs w:val="false"/>
          <w:sz w:val="22"/>
          <w:szCs w:val="22"/>
        </w:rPr>
        <w:t xml:space="preserve">"Need for shared understanding"</w:t>
      </w:r>
      <w:r>
        <w:rPr>
          <w:rFonts w:ascii="Calibri" w:cs="Calibri" w:eastAsia="Calibri" w:hAnsi="Calibri"/>
          <w:b w:val="false"/>
          <w:bCs w:val="false"/>
          <w:i w:val="false"/>
          <w:iCs w:val="false"/>
          <w:sz w:val="22"/>
          <w:szCs w:val="22"/>
        </w:rPr>
        <w:t xml:space="preserve"> scoort hoger dan verwacht. Het reglement zelf is niet ingewikkeld, maar het gesprek met de nabestaande vergt dat degene die het uitlegt (Nabestaandenzaken), degene die de zorgvuldigheid bewaakt (Compliance) en het systeem dat de brief genereert, precies hetzelfde begrip hanteren van "geen partner in de zin van het reglement" — anders ontstaat een brief die feitelijk correct is maar onnodig hard aankomt.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goede uitwerking voor het "zware" onderdeel (vaststellen recht op partnerpensioen bij samenloop):</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Domeincomplexiteit: hoog — meerdere partnertypen, aftrek bij bijzonder partnerpensioen, volgorde van claims.
Technische complexiteit: gemiddeld — geen zware integraties, wel afhankelijkheid van een niet-gedigitaliseerd archief.
Levensduur/veranderfrequentie: hoog — reglement verandert mee met de Wtp, het proces blijft decennialang bestaan.
Need for shared understanding: hoog — Willemijn, Saïda en de bouwer moeten het eens zijn vóórdat er wordt uitgekeerd.
**Dat het verschil maakt:** als we dit plat modelleren met één "partnertype"-veld, kunnen we straks niet vastleggen dat er twee gelijktijdige claims zijn geweest en welke voorrang kreeg en waarom — en als een van de twee partijen na een jaar bezwaar maakt, kan Saïda dat besluit niet meer reconstrueren.</w:t>
            </w:r>
          </w:p>
        </w:tc>
      </w:tr>
    </w:tbl>
    <w:p>
      <w:pPr>
        <w:spacing w:after="140" w:line="300"/>
      </w:pPr>
      <w:r>
        <w:rPr>
          <w:rFonts w:ascii="Calibri" w:cs="Calibri" w:eastAsia="Calibri" w:hAnsi="Calibri"/>
          <w:b w:val="false"/>
          <w:bCs w:val="false"/>
          <w:i w:val="false"/>
          <w:iCs w:val="false"/>
          <w:sz w:val="22"/>
          <w:szCs w:val="22"/>
        </w:rPr>
        <w:t xml:space="preserve">Een goede uitwerking voor het "lichte" onderdeel (correspondentieadres bijwerken):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Alle vier assen laag.
**Dat het verschil maakt:** als we hier tóch een rijk domeinmodel optuigen, kost dat bouwtijd die niet aan de partnervaststelling wordt besteed — en juist dáár, zegt Willemijn, zit het echte risico.</w:t>
            </w:r>
          </w:p>
        </w:tc>
      </w:tr>
    </w:tbl>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 het te platte model (partnervaststelling): het misverstand komt pas boven water bij de eerste dubbele claim, wanneer blijkt dat het systeem geen ruimte heeft om twee gelijktijdige aanvragen naast elkaar vast te leggen. Willemijn merkt het als eerste, omdat zij het dossier handmatig moet "repareren" buiten het systeem om.</w:t>
      </w:r>
    </w:p>
    <w:p>
      <w:pPr>
        <w:spacing w:after="140" w:line="300"/>
      </w:pPr>
      <w:r>
        <w:rPr>
          <w:rFonts w:ascii="Calibri" w:cs="Calibri" w:eastAsia="Calibri" w:hAnsi="Calibri"/>
          <w:b w:val="false"/>
          <w:bCs w:val="false"/>
          <w:i w:val="false"/>
          <w:iCs w:val="false"/>
          <w:sz w:val="22"/>
          <w:szCs w:val="22"/>
        </w:rPr>
        <w:t xml:space="preserve">Voor het te zware model (adreswijziging): niemand merkt direct een fout, maar het team verliest tijd — tijd die, zoals Rutger het zou zeggen, net zo goed aan de partnervaststelling besteed had kunnen worden. Tijmen merkt dit als eerste, in de planning.</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In het eerste gesprek werkt het goed als "Willemijn" concrete voorbeelden gebruikt (zoals dossier 4471) in plaats van het principe uit te leggen. Daan overtuigen met een voorbeeld werkt beter dan met een regel.</w:t>
      </w:r>
    </w:p>
    <w:p>
      <w:pPr>
        <w:pStyle w:val="ListParagraph"/>
        <w:numPr>
          <w:ilvl w:val="0"/>
          <w:numId w:val="1"/>
        </w:numPr>
        <w:spacing w:after="80"/>
      </w:pPr>
      <w:r>
        <w:rPr>
          <w:rFonts w:ascii="Calibri" w:cs="Calibri" w:eastAsia="Calibri" w:hAnsi="Calibri"/>
          <w:sz w:val="22"/>
          <w:szCs w:val="22"/>
        </w:rPr>
        <w:t xml:space="preserve">In het tweede gesprek is de valkuil dat "Willemijn" zorgvuldigheid gaat afwijzen. De vraag is niet of zorgvuldigheid gewenst is, maar of dít specifieke onderdeel de investering waard is — dat onderscheid moet expliciet benoemd worden.</w:t>
      </w:r>
    </w:p>
    <w:p>
      <w:pPr>
        <w:pStyle w:val="ListParagraph"/>
        <w:numPr>
          <w:ilvl w:val="0"/>
          <w:numId w:val="1"/>
        </w:numPr>
        <w:spacing w:after="80"/>
      </w:pPr>
      <w:r>
        <w:rPr>
          <w:rFonts w:ascii="Calibri" w:cs="Calibri" w:eastAsia="Calibri" w:hAnsi="Calibri"/>
          <w:sz w:val="22"/>
          <w:szCs w:val="22"/>
        </w:rPr>
        <w:t xml:space="preserve">Meestal is het tweede gesprek lastiger: mensen corrigeren gemakkelijker als er te weinig zorgvuldigheid is dan wanneer er te veel is, omdat "te veel zorgvuldigheid" niet als een probleem aanvoelt totdat je de kosten ervan benoemt.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keten: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het WGP 2.0-team de complexiteitstoets had gebruikt, was waarschijnlijk aan het licht gekomen dat "mutatie verwerken" geen enkelvoudig, laag-complex onderdeel was, maar een verzamelnaam voor onderdelen met sterk uiteenlopende domeincomplexiteit — van een simpele adreswijziging tot een correctie met terugwerkende kracht die meerdere regelingen raakt. Door dat onderscheid niet te maken, is het hele portaal met dezelfde platte aanpak gebouwd, ongeacht welk deel eigenlijk een rijker model nodig had. De toets had het team gedwongen om per onderdeel te kiezen in plaats van één aanpak over alles heen te leggen — en had zichtbaar gemaakt waar de meeste tijd nodig was, vóórdat de planning werd vastgezet.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2026-08-16T19:17:58.699Z</dcterms:created>
  <dcterms:modified xsi:type="dcterms:W3CDTF">2026-08-16T19:17:58.699Z</dcterms:modified>
</cp:coreProperties>
</file>

<file path=docProps/custom.xml><?xml version="1.0" encoding="utf-8"?>
<Properties xmlns="http://schemas.openxmlformats.org/officeDocument/2006/custom-properties" xmlns:vt="http://schemas.openxmlformats.org/officeDocument/2006/docPropsVTypes"/>
</file>