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 — Ubiquitous language: taal als ontwerpmiddel, niet als glossarium</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2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 bouwt direct voort op deel 1: het team weet nu wélk onderdeel van het Nabestaandenloket de investering rechtvaardigt, en gaat in dit deel voor het eerst met dat onderdeel aan de slag — niet door te modelleren, maar door te luisteren naar hoe erover gesproken wordt. Dit deel is cruciaal voor de rest van niveau 1: elke latere bouwsteen (entity, aggregate, domain event) wordt vanaf deel 5 benoemd met de taal die hier wordt vastgesteld. Als deelnemers hier het idee krijgen dat taal een kwestie van definities is die je één keer vastlegt, ondermijn je de rest van het niveau.</w:t>
      </w:r>
    </w:p>
    <w:p>
      <w:pPr>
        <w:pStyle w:val="ListParagraph"/>
        <w:numPr>
          <w:ilvl w:val="0"/>
          <w:numId w:val="1"/>
        </w:numPr>
        <w:spacing w:after="80"/>
      </w:pPr>
      <w:r>
        <w:rPr>
          <w:rFonts w:ascii="Calibri" w:cs="Calibri" w:eastAsia="Calibri" w:hAnsi="Calibri"/>
          <w:sz w:val="22"/>
          <w:szCs w:val="22"/>
        </w:rPr>
        <w:t xml:space="preserve">**Module-onderdeel:** voorbereidend op het curriculumonderdeel "domain, model en ubiquitous language" van de iSAQB Advanced-module DDD.</w:t>
      </w:r>
    </w:p>
    <w:p>
      <w:pPr>
        <w:pStyle w:val="ListParagraph"/>
        <w:numPr>
          <w:ilvl w:val="0"/>
          <w:numId w:val="1"/>
        </w:numPr>
        <w:spacing w:after="80"/>
      </w:pPr>
      <w:r>
        <w:rPr>
          <w:rFonts w:ascii="Calibri" w:cs="Calibri" w:eastAsia="Calibri" w:hAnsi="Calibri"/>
          <w:sz w:val="22"/>
          <w:szCs w:val="22"/>
        </w:rPr>
        <w:t xml:space="preserve">**Werkvorm:** de taalkaart.</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afgerond, complexiteitstoets uit deel 1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ubiquitous language is; de casus van de drie definities van "dossier"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structureel of toevallig,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dossierstuk 2-A ontleden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taalkaart: de velden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eigen taalkaart invullen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het weggedefinieerde verschil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WGP 2.0 en "mutatie",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3</w:t>
            </w:r>
          </w:p>
        </w:tc>
      </w:tr>
    </w:tbl>
    <w:p>
      <w:pPr>
        <w:spacing w:after="140" w:line="300"/>
      </w:pPr>
      <w:r>
        <w:rPr>
          <w:rFonts w:ascii="Calibri" w:cs="Calibri" w:eastAsia="Calibri" w:hAnsi="Calibri"/>
          <w:b w:val="false"/>
          <w:bCs w:val="false"/>
          <w:i w:val="false"/>
          <w:iCs w:val="false"/>
          <w:sz w:val="22"/>
          <w:szCs w:val="22"/>
        </w:rPr>
        <w:t xml:space="preserve">Loop je uit, dan schrap je opdracht 4 en verwerk je de kernvraag ("wat blijft onzichtbaar bij een glossarium") mondeling in de nabespreking van opdracht 3. Schrap nooit opdracht 5: het is het enige onderdeel waarin deelnemers zelf een taalverschil moeten opsporen door door te vragen, in plaats van er een uitgeschreven voorbeeld van te lezen.</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ubiquitous language.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*"Stel dat er ergens in dit gebouw een begrippenlijst hangt met de definitie van elk belangrijk woord in jouw werk. Hoe vaak zou je hem raadplegen?"*</w:t>
            </w:r>
          </w:p>
        </w:tc>
      </w:tr>
    </w:tbl>
    <w:p>
      <w:pPr>
        <w:spacing w:after="140" w:line="300"/>
      </w:pPr>
      <w:r>
        <w:rPr>
          <w:rFonts w:ascii="Calibri" w:cs="Calibri" w:eastAsia="Calibri" w:hAnsi="Calibri"/>
          <w:b w:val="false"/>
          <w:bCs w:val="false"/>
          <w:i w:val="false"/>
          <w:iCs w:val="false"/>
          <w:sz w:val="22"/>
          <w:szCs w:val="22"/>
        </w:rPr>
        <w:t xml:space="preserve">Laat de antwoorden op een flap komen. Vrijwel niemand zegt "regelmatig" — de meeste antwoorden zijn variaties op "eigenlijk nooit, ik weet toch wel wat ik bedoel". Dat is precies het punt: een begrippenlijst wordt geraadpleegd door mensen die twijfelen, niet door mensen die (onterecht) zeker zijn. Bewaar de flap voor de afsluiting van dit deel.</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ubiquitous language is (0:15-0:45).</w:t>
      </w:r>
      <w:r>
        <w:rPr>
          <w:rFonts w:ascii="Calibri" w:cs="Calibri" w:eastAsia="Calibri" w:hAnsi="Calibri"/>
          <w:b w:val="false"/>
          <w:bCs w:val="false"/>
          <w:i w:val="false"/>
          <w:iCs w:val="false"/>
          <w:sz w:val="22"/>
          <w:szCs w:val="22"/>
        </w:rPr>
        <w:t xml:space="preserve"> Benadruk de drie eigenschappen (gedeeld, ook in code, begrensd tot één context) evenwichtig — deelnemers met een technische achtergrond hechten vaak meteen aan "ook in de code" en slaan "gedeeld, niet opgelegd" over; deelnemers met een domeinachtergrond doen precies het omgekeerde. Beide zijn nodig.</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zelf ontdekken dat Willemijn, Saïda en Daan geen van drieën ongelijk hebben — ze hebben het over verschillende momenten. Vertel dit niet voor. De valkuil is dat een deelnemer meteen "kiest" welke definitie de juiste is; stuur dan terug naar de vraag "op welk moment ontstaat het, volgens ieder van hen?"</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3 en 5 zijn met opzet dubbelzinnig — bespreek na dat "structureel versus toevallig" pas met zekerheid vast te stellen is ná een gesprek, niet ervoor. Dat voorkomt dat deelnemers de taalkaart als een eenmalige inschattingsoefening gaan zien in plaats van als aanleiding tot een gesprek.</w:t>
      </w:r>
    </w:p>
    <w:p>
      <w:pPr>
        <w:spacing w:after="140" w:line="300"/>
      </w:pPr>
      <w:r>
        <w:rPr>
          <w:rFonts w:ascii="Calibri" w:cs="Calibri" w:eastAsia="Calibri" w:hAnsi="Calibri"/>
          <w:b/>
          <w:bCs/>
          <w:i w:val="false"/>
          <w:iCs w:val="false"/>
          <w:sz w:val="22"/>
          <w:szCs w:val="22"/>
        </w:rPr>
        <w:t xml:space="preserve">De taalkaart (1:35-1:55).</w:t>
      </w:r>
      <w:r>
        <w:rPr>
          <w:rFonts w:ascii="Calibri" w:cs="Calibri" w:eastAsia="Calibri" w:hAnsi="Calibri"/>
          <w:b w:val="false"/>
          <w:bCs w:val="false"/>
          <w:i w:val="false"/>
          <w:iCs w:val="false"/>
          <w:sz w:val="22"/>
          <w:szCs w:val="22"/>
        </w:rPr>
        <w:t xml:space="preserve"> Introduceer de velden in volgorde en benoem uitdrukkelijk dat het vijfde veld — "dat het verschil maakt" — het veld is dat de meeste waarde levert en het snelst wordt overgeslagen. Dit is hetzelfde terugkerende patroon als de complexiteitstoets in deel 1; benoem die parallel hardop, het versterkt het idee dat elk Ductus-instrument in deze cursus die opbouw kent.</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Laat deelnemers hun taalkaart voorlezen, niet uitdelen. Bij het veld "structureel of toevallig" hoor je direct of iemand heeft doorgevraagd of alleen heeft aangenomen. Beperk je feedback tot de vraag "hoe weet je dat zeker?" — dat dwingt naar een citaat uit het gesprek in plaats van een eigen interpretatie.</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Dit is het lastigste onderdeel om te begeleiden. Drie aanwijzingen:</w:t>
      </w:r>
    </w:p>
    <w:p>
      <w:pPr>
        <w:pStyle w:val="ListParagraph"/>
        <w:numPr>
          <w:ilvl w:val="0"/>
          <w:numId w:val="1"/>
        </w:numPr>
        <w:spacing w:after="80"/>
      </w:pPr>
      <w:r>
        <w:rPr>
          <w:rFonts w:ascii="Calibri" w:cs="Calibri" w:eastAsia="Calibri" w:hAnsi="Calibri"/>
          <w:sz w:val="22"/>
          <w:szCs w:val="22"/>
        </w:rPr>
        <w:t xml:space="preserve">Instrueer beide spelers om niet te "acteren" vanuit een vaste overtuiging, maar om oprecht te proberen elkaar te begrijpen — het punt van de opdracht is doorvragen, geen tegenstelling opvoeren.</w:t>
      </w:r>
    </w:p>
    <w:p>
      <w:pPr>
        <w:pStyle w:val="ListParagraph"/>
        <w:numPr>
          <w:ilvl w:val="0"/>
          <w:numId w:val="1"/>
        </w:numPr>
        <w:spacing w:after="80"/>
      </w:pPr>
      <w:r>
        <w:rPr>
          <w:rFonts w:ascii="Calibri" w:cs="Calibri" w:eastAsia="Calibri" w:hAnsi="Calibri"/>
          <w:sz w:val="22"/>
          <w:szCs w:val="22"/>
        </w:rPr>
        <w:t xml:space="preserve">Grijp niet in als het gesprek blijft hangen in schijnovereenstemming ("ja, we bedoelen hetzelfde" zonder concreet voorbeeld). Laat de nabespreking dat blootleggen door te vragen naar een concreet dossiernummer.</w:t>
      </w:r>
    </w:p>
    <w:p>
      <w:pPr>
        <w:pStyle w:val="ListParagraph"/>
        <w:numPr>
          <w:ilvl w:val="0"/>
          <w:numId w:val="1"/>
        </w:numPr>
        <w:spacing w:after="80"/>
      </w:pPr>
      <w:r>
        <w:rPr>
          <w:rFonts w:ascii="Calibri" w:cs="Calibri" w:eastAsia="Calibri" w:hAnsi="Calibri"/>
          <w:sz w:val="22"/>
          <w:szCs w:val="22"/>
        </w:rPr>
        <w:t xml:space="preserve">Bespreek na met de vraag "welke vraag bracht het verschil het snelst boven water?" in plaats van "kwamen jullie eruit?".</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het onderscheid tussen vóór de bouw en ná livegang ontdekken. Als de groep blijft hangen in "dat hadden ze beter moeten doen", stel dan de vraag: "welke rol had bij WGP 2.0 het woord 'mutatie' waarschijnlijk het eerst anders gebruikt dan de anderen, en waarom werd dat nooit opgemerkt?"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Taalkaart ingevuld als woordenboekdefinitie, zonder citaten van rollen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valt terug in glossarium-denken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zei diegene letterlijk, in het casusdossier of in het gesprek?"</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verschil meteen "structureel" genoemd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Overcorrectie na de casus van "dossier"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Rutgers ontdekking bij "partner" in de reader — niet elk verschil is een grens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leidt tot verwarring")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kan straks iets niet meer bewijzen of navragen als we dit negeren?"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Discussie ontspoort in "wie heeft er gelijk"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Terugval naar één-definitie-denken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het uitgangspunt: beide rollen hebben gelijk binnen hun eigen perspectief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wil de taalkaart meteen voor het hele domein invullen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Onderschat de tijd die één term goed doorgronden kost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Beperk tot één term per keer; benoem dat dit precies is waarom niveau 1 tien delen kent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2 wordt niet becijferd. Wel houd je per deelnemer bij of de taalkaart uit opdracht 3 aan drie eisen voldoet; dat is het tweede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elk perspectief is met een citaat of een concreet voorbeeld onderbouwd, niet met een eigen interpretatie; de conclusie "structureel of toevallig" is beargumenteerd;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2, inclusief dossierstukken 2-A en 2-B</w:t>
      </w:r>
    </w:p>
    <w:p>
      <w:pPr>
        <w:pStyle w:val="ListParagraph"/>
        <w:numPr>
          <w:ilvl w:val="0"/>
          <w:numId w:val="1"/>
        </w:numPr>
        <w:spacing w:after="80"/>
      </w:pPr>
      <w:r>
        <w:rPr>
          <w:rFonts w:ascii="Calibri" w:cs="Calibri" w:eastAsia="Calibri" w:hAnsi="Calibri"/>
          <w:sz w:val="22"/>
          <w:szCs w:val="22"/>
        </w:rPr>
        <w:t xml:space="preserve">Slidedeck deel 2</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taalkaart-invulbladen, minstens twee per deelnemer</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Ubiquitous language staat letterlijk in het officiële curriculum van de iSAQB Advanced-module DDD, onder "domain, model en ubiquitous language" — dit is dus geen zijstap maar kernstof.</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die de BA-cursus van Ductus kennen, herkennen mogelijk een gelijkenis met begrippenwerk uit die cursus. Benoem het onderscheid als het ter sprake komt: waar de BA-cursus begrippen vooral gebruikt voor elicitatie en requirements, gebruikt ubiquitous language taal als ontwerpmiddel dat direct doorwerkt in de code — een ander doel, met een deels overlappend instrument.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2026-08-16T19:17:58.904Z</dcterms:created>
  <dcterms:modified xsi:type="dcterms:W3CDTF">2026-08-16T19:17:58.904Z</dcterms:modified>
</cp:coreProperties>
</file>

<file path=docProps/custom.xml><?xml version="1.0" encoding="utf-8"?>
<Properties xmlns="http://schemas.openxmlformats.org/officeDocument/2006/custom-properties" xmlns:vt="http://schemas.openxmlformats.org/officeDocument/2006/docPropsVTypes"/>
</file>