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 — Ubiquitous language: taal als ontwerpmiddel, niet als glossarium</w:t>
      </w:r>
    </w:p>
    <w:p>
      <w:pPr>
        <w:spacing w:after="140" w:line="300"/>
      </w:pPr>
      <w:r>
        <w:rPr>
          <w:rFonts w:ascii="Calibri" w:cs="Calibri" w:eastAsia="Calibri" w:hAnsi="Calibri"/>
          <w:b w:val="false"/>
          <w:bCs w:val="false"/>
          <w:i w:val="false"/>
          <w:iCs w:val="false"/>
          <w:sz w:val="22"/>
          <w:szCs w:val="22"/>
        </w:rPr>
        <w:t xml:space="preserve">Werkboek · Ductus-cursus Domain-Driven Design · niveau 1 · deel 2 van 30</w:t>
      </w:r>
    </w:p>
    <w:p>
      <w:pPr>
        <w:spacing w:after="140" w:line="300"/>
      </w:pPr>
      <w:r>
        <w:rPr>
          <w:rFonts w:ascii="Calibri" w:cs="Calibri" w:eastAsia="Calibri" w:hAnsi="Calibri"/>
          <w:b w:val="false"/>
          <w:bCs w:val="false"/>
          <w:i w:val="false"/>
          <w:iCs w:val="false"/>
          <w:sz w:val="22"/>
          <w:szCs w:val="22"/>
        </w:rPr>
        <w:t xml:space="preserve">Zes opdrachten, samen ongeveer een dagdeel. Opdracht 1 tot en met 4 zijn individueel, opdracht 5 in tweetallen, opdracht 6 plenair. De uitwerkingen staan achterin; werk een opdracht af voordat je die leest.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2-A — Drie gespreksfragmenten over hetzelfde woord</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**Willemijn Brugman, over "toekenning":** "Zodra ik weet dat iemand recht heeft op partnerpensioen, is het toegekend. Dat ik de brief nog moet versturen is voor mij een kwestie van administratie."</w:t>
            </w:r>
          </w:p>
          <w:p>
            <w:pPr>
              <w:spacing w:after="100" w:line="280"/>
            </w:pPr>
            <w:r>
              <w:rPr>
                <w:rFonts w:ascii="Calibri" w:cs="Calibri" w:eastAsia="Calibri" w:hAnsi="Calibri"/>
                <w:i/>
                <w:iCs/>
                <w:sz w:val="22"/>
                <w:szCs w:val="22"/>
              </w:rPr>
              <w:t xml:space="preserve">**Corné Pauwels, over "toekenning":** "Voor mij is iets pas toegekend als de eerste betaling daadwerkelijk is uitgevoerd. Daarvoor is het een intern besluit, geen toekenning."</w:t>
            </w:r>
          </w:p>
          <w:p>
            <w:pPr>
              <w:spacing w:after="100" w:line="280"/>
            </w:pPr>
            <w:r>
              <w:rPr>
                <w:rFonts w:ascii="Calibri" w:cs="Calibri" w:eastAsia="Calibri" w:hAnsi="Calibri"/>
                <w:i/>
                <w:iCs/>
                <w:sz w:val="22"/>
                <w:szCs w:val="22"/>
              </w:rPr>
              <w:t xml:space="preserve">**Saïda Fontein, over "toekenning":** "Een toekenning is voor mij het moment waarop het besluit is vastgelegd én goedgekeurd door een tweede paar ogen. Vóór die goedkeuring bestaat er voor mij geen toekenning, hooguit een concept-besluit."</w:t>
            </w:r>
          </w:p>
        </w:tc>
      </w:tr>
    </w:tbl>
    <w:p>
      <w:pPr>
        <w:pStyle w:val="Heading2"/>
        <w:spacing w:after="120" w:before="200"/>
      </w:pPr>
      <w:r>
        <w:rPr>
          <w:rFonts w:ascii="Georgia" w:cs="Georgia" w:eastAsia="Georgia" w:hAnsi="Georgia"/>
          <w:b/>
          <w:bCs/>
          <w:color w:val="2C5AA0"/>
          <w:sz w:val="28"/>
          <w:szCs w:val="28"/>
        </w:rPr>
        <w:t xml:space="preserve">Dossierstuk 2-B — Uit een e-mailwisseling over "wezenpensioen-dossier"</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**Van:** Willemijn Brugman **Aan:** Daan Kuiper
"Even over die twee wezendossiers van vorige week — die horen eigenlijk bij hetzelfde overlijden. Ik behandel ze administratief los omdat elk kind een eigen bedrag krijgt, maar inhoudelijk is het één zaak."</w:t>
            </w:r>
          </w:p>
          <w:p>
            <w:pPr>
              <w:spacing w:after="100" w:line="280"/>
            </w:pPr>
            <w:r>
              <w:rPr>
                <w:rFonts w:ascii="Calibri" w:cs="Calibri" w:eastAsia="Calibri" w:hAnsi="Calibri"/>
                <w:i/>
                <w:iCs/>
                <w:sz w:val="22"/>
                <w:szCs w:val="22"/>
              </w:rPr>
              <w:t xml:space="preserve">**Van:** Daan Kuiper **Aan:** Willemijn Brugman
"Dus in het systeem worden dat twee losse rijen in de tabel DOSSIER? Of is het één dossier met twee kinderen erin?"</w:t>
            </w:r>
          </w:p>
          <w:p>
            <w:pPr>
              <w:spacing w:after="100" w:line="280"/>
            </w:pPr>
            <w:r>
              <w:rPr>
                <w:rFonts w:ascii="Calibri" w:cs="Calibri" w:eastAsia="Calibri" w:hAnsi="Calibri"/>
                <w:i/>
                <w:iCs/>
                <w:sz w:val="22"/>
                <w:szCs w:val="22"/>
              </w:rPr>
              <w:t xml:space="preserve">**Van:** Willemijn Brugman **Aan:** Daan Kuiper
"Dat is precies de vraag die ik zelf ook niet scherp had. Voor de uitkering zijn het twee aparte dingen. Voor de communicatie met de nabestaande ouder is het echt één zaak — die krijgt niet twee keer een brief over hetzelfde overlijden."</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Structureel of toevallig? (15 min)</w:t>
      </w:r>
    </w:p>
    <w:p>
      <w:pPr>
        <w:spacing w:after="140" w:line="300"/>
      </w:pPr>
      <w:r>
        <w:rPr>
          <w:rFonts w:ascii="Calibri" w:cs="Calibri" w:eastAsia="Calibri" w:hAnsi="Calibri"/>
          <w:b w:val="false"/>
          <w:bCs w:val="false"/>
          <w:i w:val="false"/>
          <w:iCs w:val="false"/>
          <w:sz w:val="22"/>
          <w:szCs w:val="22"/>
        </w:rPr>
        <w:t xml:space="preserve">Bepaal per paar uitspraken of het verschil waarschijnlijk </w:t>
      </w:r>
      <w:r>
        <w:rPr>
          <w:rFonts w:ascii="Calibri" w:cs="Calibri" w:eastAsia="Calibri" w:hAnsi="Calibri"/>
          <w:b/>
          <w:bCs/>
          <w:i w:val="false"/>
          <w:iCs w:val="false"/>
          <w:sz w:val="22"/>
          <w:szCs w:val="22"/>
        </w:rPr>
        <w:t xml:space="preserve">structureel</w:t>
      </w:r>
      <w:r>
        <w:rPr>
          <w:rFonts w:ascii="Calibri" w:cs="Calibri" w:eastAsia="Calibri" w:hAnsi="Calibri"/>
          <w:b w:val="false"/>
          <w:bCs w:val="false"/>
          <w:i w:val="false"/>
          <w:iCs w:val="false"/>
          <w:sz w:val="22"/>
          <w:szCs w:val="22"/>
        </w:rPr>
        <w:t xml:space="preserve"> is (wijst op een verborgen grens) of </w:t>
      </w:r>
      <w:r>
        <w:rPr>
          <w:rFonts w:ascii="Calibri" w:cs="Calibri" w:eastAsia="Calibri" w:hAnsi="Calibri"/>
          <w:b/>
          <w:bCs/>
          <w:i w:val="false"/>
          <w:iCs w:val="false"/>
          <w:sz w:val="22"/>
          <w:szCs w:val="22"/>
        </w:rPr>
        <w:t xml:space="preserve">toevallig</w:t>
      </w:r>
      <w:r>
        <w:rPr>
          <w:rFonts w:ascii="Calibri" w:cs="Calibri" w:eastAsia="Calibri" w:hAnsi="Calibri"/>
          <w:b w:val="false"/>
          <w:bCs w:val="false"/>
          <w:i w:val="false"/>
          <w:iCs w:val="false"/>
          <w:sz w:val="22"/>
          <w:szCs w:val="22"/>
        </w:rPr>
        <w:t xml:space="preserve"> (bij doorvragen blijkt het hetzelfde bedoeld).</w:t>
      </w:r>
    </w:p>
    <w:p>
      <w:pPr>
        <w:pStyle w:val="ListParagraph"/>
        <w:numPr>
          <w:ilvl w:val="0"/>
          <w:numId w:val="1"/>
        </w:numPr>
        <w:spacing w:after="80"/>
      </w:pPr>
      <w:r>
        <w:rPr>
          <w:rFonts w:ascii="Calibri" w:cs="Calibri" w:eastAsia="Calibri" w:hAnsi="Calibri"/>
          <w:sz w:val="22"/>
          <w:szCs w:val="22"/>
        </w:rPr>
        <w:t xml:space="preserve">Willemijn noemt het "een dossier openen", Rutger noemt hetzelfde moment "een record aanmaken".</w:t>
      </w:r>
    </w:p>
    <w:p>
      <w:pPr>
        <w:pStyle w:val="ListParagraph"/>
        <w:numPr>
          <w:ilvl w:val="0"/>
          <w:numId w:val="1"/>
        </w:numPr>
        <w:spacing w:after="80"/>
      </w:pPr>
      <w:r>
        <w:rPr>
          <w:rFonts w:ascii="Calibri" w:cs="Calibri" w:eastAsia="Calibri" w:hAnsi="Calibri"/>
          <w:sz w:val="22"/>
          <w:szCs w:val="22"/>
        </w:rPr>
        <w:t xml:space="preserve">Willemijn: "toegekend zodra ik het weet." Corné: "toegekend zodra de eerste betaling is gedaan."</w:t>
      </w:r>
    </w:p>
    <w:p>
      <w:pPr>
        <w:pStyle w:val="ListParagraph"/>
        <w:numPr>
          <w:ilvl w:val="0"/>
          <w:numId w:val="1"/>
        </w:numPr>
        <w:spacing w:after="80"/>
      </w:pPr>
      <w:r>
        <w:rPr>
          <w:rFonts w:ascii="Calibri" w:cs="Calibri" w:eastAsia="Calibri" w:hAnsi="Calibri"/>
          <w:sz w:val="22"/>
          <w:szCs w:val="22"/>
        </w:rPr>
        <w:t xml:space="preserve">Saïda noemt een brief aan een nabestaande "correspondentie", Tijmen noemt dezelfde brief "output".</w:t>
      </w:r>
    </w:p>
    <w:p>
      <w:pPr>
        <w:pStyle w:val="ListParagraph"/>
        <w:numPr>
          <w:ilvl w:val="0"/>
          <w:numId w:val="1"/>
        </w:numPr>
        <w:spacing w:after="80"/>
      </w:pPr>
      <w:r>
        <w:rPr>
          <w:rFonts w:ascii="Calibri" w:cs="Calibri" w:eastAsia="Calibri" w:hAnsi="Calibri"/>
          <w:sz w:val="22"/>
          <w:szCs w:val="22"/>
        </w:rPr>
        <w:t xml:space="preserve">Willemijn: "het wezenpensioen is één zaak." Daan (technisch): "het wezenpensioen is twee rijen in de tabel."</w:t>
      </w:r>
    </w:p>
    <w:p>
      <w:pPr>
        <w:pStyle w:val="ListParagraph"/>
        <w:numPr>
          <w:ilvl w:val="0"/>
          <w:numId w:val="1"/>
        </w:numPr>
        <w:spacing w:after="80"/>
      </w:pPr>
      <w:r>
        <w:rPr>
          <w:rFonts w:ascii="Calibri" w:cs="Calibri" w:eastAsia="Calibri" w:hAnsi="Calibri"/>
          <w:sz w:val="22"/>
          <w:szCs w:val="22"/>
        </w:rPr>
        <w:t xml:space="preserve">Corné noemt een medewerker van Nabestaandenzaken "behandelaar", Willemijn noemt zichzelf ook wel eens "regelaar" in informele gesprekken.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Lees dossierstuk 2-A (20 min)</w:t>
      </w:r>
    </w:p>
    <w:p>
      <w:pPr>
        <w:spacing w:after="140" w:line="300"/>
      </w:pPr>
      <w:r>
        <w:rPr>
          <w:rFonts w:ascii="Calibri" w:cs="Calibri" w:eastAsia="Calibri" w:hAnsi="Calibri"/>
          <w:b w:val="false"/>
          <w:bCs w:val="false"/>
          <w:i w:val="false"/>
          <w:iCs w:val="false"/>
          <w:sz w:val="22"/>
          <w:szCs w:val="22"/>
        </w:rPr>
        <w:t xml:space="preserve">Lees de drie uitspraken over "toekenning". Beantwoord:</w:t>
      </w:r>
    </w:p>
    <w:p>
      <w:pPr>
        <w:spacing w:after="140" w:line="300"/>
      </w:pPr>
      <w:r>
        <w:rPr>
          <w:rFonts w:ascii="Calibri" w:cs="Calibri" w:eastAsia="Calibri" w:hAnsi="Calibri"/>
          <w:b w:val="false"/>
          <w:bCs w:val="false"/>
          <w:i w:val="false"/>
          <w:iCs w:val="false"/>
          <w:sz w:val="22"/>
          <w:szCs w:val="22"/>
        </w:rPr>
        <w:t xml:space="preserve">a. Noem de drie momenten die de drie sprekers elk als "het moment van toekenning" beschouwen.</w:t>
      </w:r>
      <w:r>
        <w:rPr>
          <w:rFonts w:ascii="Calibri" w:cs="Calibri" w:eastAsia="Calibri" w:hAnsi="Calibri"/>
          <w:b w:val="false"/>
          <w:bCs w:val="false"/>
          <w:i w:val="false"/>
          <w:iCs w:val="false"/>
          <w:sz w:val="22"/>
          <w:szCs w:val="22"/>
        </w:rPr>
        <w:t xml:space="preserve">b. Is dit verschil structureel of toevallig? Onderbouw met een verwijzing naar wat er inhoudelijk anders is aan elk moment.</w:t>
      </w:r>
      <w:r>
        <w:rPr>
          <w:rFonts w:ascii="Calibri" w:cs="Calibri" w:eastAsia="Calibri" w:hAnsi="Calibri"/>
          <w:b w:val="false"/>
          <w:bCs w:val="false"/>
          <w:i w:val="false"/>
          <w:iCs w:val="false"/>
          <w:sz w:val="22"/>
          <w:szCs w:val="22"/>
        </w:rPr>
        <w:t xml:space="preserve">c. Bedenk, naar het patroon van "melding" versus "dossier" uit de reader, drie kandidaat-namen voor de drie momenten die Willemijn, Corné en Saïda bedoelen.</w:t>
      </w:r>
      <w:r>
        <w:rPr>
          <w:rFonts w:ascii="Calibri" w:cs="Calibri" w:eastAsia="Calibri" w:hAnsi="Calibri"/>
          <w:b w:val="false"/>
          <w:bCs w:val="false"/>
          <w:i w:val="false"/>
          <w:iCs w:val="false"/>
          <w:sz w:val="22"/>
          <w:szCs w:val="22"/>
        </w:rPr>
        <w:t xml:space="preserve">d. Wat zou er misgaan als het team toch met één woord "toekenning" doorwerkt, en Compliance (Saïda) achteraf gevraagd wordt te bewijzen wanneer een besluit rechtsgeldig was?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Vul de taalkaart in (25 min)</w:t>
      </w:r>
    </w:p>
    <w:p>
      <w:pPr>
        <w:spacing w:after="140" w:line="300"/>
      </w:pPr>
      <w:r>
        <w:rPr>
          <w:rFonts w:ascii="Calibri" w:cs="Calibri" w:eastAsia="Calibri" w:hAnsi="Calibri"/>
          <w:b w:val="false"/>
          <w:bCs w:val="false"/>
          <w:i w:val="false"/>
          <w:iCs w:val="false"/>
          <w:sz w:val="22"/>
          <w:szCs w:val="22"/>
        </w:rPr>
        <w:t xml:space="preserve">Kies een term uit dossierstuk 2-B ("dossier" in de context van een wezenpensioenzaak met meerdere kinderen) of een eigen term uit het casusdossier. Vul de volledige taalkaart in: de term, wie hem gebruikt en wat zij ermee bedoelen, het moment van ontstaan volgens elke rol, of het verschil structureel of toevallig is, een voorlopige conclusie, en het afsluitende veld "dat het verschil maakt".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Het weggedefinieerde verschil (15 min)</w:t>
      </w:r>
    </w:p>
    <w:p>
      <w:pPr>
        <w:spacing w:after="140" w:line="300"/>
      </w:pPr>
      <w:r>
        <w:rPr>
          <w:rFonts w:ascii="Calibri" w:cs="Calibri" w:eastAsia="Calibri" w:hAnsi="Calibri"/>
          <w:b w:val="false"/>
          <w:bCs w:val="false"/>
          <w:i w:val="false"/>
          <w:iCs w:val="false"/>
          <w:sz w:val="22"/>
          <w:szCs w:val="22"/>
        </w:rPr>
        <w:t xml:space="preserve">Stel dat het Nabestaandenloket-team, in plaats van de taalkaart, een klassiek glossarium had gebruikt en voor "dossier" één definitie had gekozen (bijvoorbeeld: "dossier = alles vanaf de eerste melding"). Beschrijf in een paar zinnen welk probleem daardoor onzichtbaar was gebleven, en wanneer het waarschijnlijk alsnog aan het licht was gekomen.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Het gesprek tussen Willemijn en Saïda (30 min, tweetallen)</w:t>
      </w:r>
    </w:p>
    <w:p>
      <w:pPr>
        <w:spacing w:after="140" w:line="300"/>
      </w:pPr>
      <w:r>
        <w:rPr>
          <w:rFonts w:ascii="Calibri" w:cs="Calibri" w:eastAsia="Calibri" w:hAnsi="Calibri"/>
          <w:b w:val="false"/>
          <w:bCs w:val="false"/>
          <w:i w:val="false"/>
          <w:iCs w:val="false"/>
          <w:sz w:val="22"/>
          <w:szCs w:val="22"/>
        </w:rPr>
        <w:t xml:space="preserve">Eén van jullie is Willemijn, de ander Saïda. Jullie moeten er samen achter komen of "dossier" voor jullie hetzelfde begin heeft. Begin met: </w:t>
      </w:r>
      <w:r>
        <w:rPr>
          <w:rFonts w:ascii="Calibri" w:cs="Calibri" w:eastAsia="Calibri" w:hAnsi="Calibri"/>
          <w:b w:val="false"/>
          <w:bCs w:val="false"/>
          <w:i/>
          <w:iCs/>
          <w:sz w:val="22"/>
          <w:szCs w:val="22"/>
        </w:rPr>
        <w:t xml:space="preserve">"Zodra er een dossier binnenkomt, kijk ik eerst of er een partner is."</w:t>
      </w:r>
      <w:r>
        <w:rPr>
          <w:rFonts w:ascii="Calibri" w:cs="Calibri" w:eastAsia="Calibri" w:hAnsi="Calibri"/>
          <w:b w:val="false"/>
          <w:bCs w:val="false"/>
          <w:i w:val="false"/>
          <w:iCs w:val="false"/>
          <w:sz w:val="22"/>
          <w:szCs w:val="22"/>
        </w:rPr>
        <w:t xml:space="preserve"> (Willemijn) — en laat Saïda doorvragen tot het moment van ontstaan voor beiden helder is.</w:t>
      </w:r>
    </w:p>
    <w:p>
      <w:pPr>
        <w:spacing w:after="140" w:line="300"/>
      </w:pPr>
      <w:r>
        <w:rPr>
          <w:rFonts w:ascii="Calibri" w:cs="Calibri" w:eastAsia="Calibri" w:hAnsi="Calibri"/>
          <w:b w:val="false"/>
          <w:bCs w:val="false"/>
          <w:i w:val="false"/>
          <w:iCs w:val="false"/>
          <w:sz w:val="22"/>
          <w:szCs w:val="22"/>
        </w:rPr>
        <w:t xml:space="preserve">Wissel daarna van rol met een nieuw woord: </w:t>
      </w:r>
      <w:r>
        <w:rPr>
          <w:rFonts w:ascii="Calibri" w:cs="Calibri" w:eastAsia="Calibri" w:hAnsi="Calibri"/>
          <w:b/>
          <w:bCs/>
          <w:i w:val="false"/>
          <w:iCs w:val="false"/>
          <w:sz w:val="22"/>
          <w:szCs w:val="22"/>
        </w:rPr>
        <w:t xml:space="preserve">"afgehandeld"</w:t>
      </w:r>
      <w:r>
        <w:rPr>
          <w:rFonts w:ascii="Calibri" w:cs="Calibri" w:eastAsia="Calibri" w:hAnsi="Calibri"/>
          <w:b w:val="false"/>
          <w:bCs w:val="false"/>
          <w:i w:val="false"/>
          <w:iCs w:val="false"/>
          <w:sz w:val="22"/>
          <w:szCs w:val="22"/>
        </w:rPr>
        <w:t xml:space="preserve">. Ontdek samen of dat voor Willemijn (het besluit staat vast) en Saïda (de compliance-check op het besluit is afgerond) hetzelfde moment is.</w:t>
      </w:r>
    </w:p>
    <w:p>
      <w:pPr>
        <w:spacing w:after="140" w:line="300"/>
      </w:pPr>
      <w:r>
        <w:rPr>
          <w:rFonts w:ascii="Calibri" w:cs="Calibri" w:eastAsia="Calibri" w:hAnsi="Calibri"/>
          <w:b w:val="false"/>
          <w:bCs w:val="false"/>
          <w:i w:val="false"/>
          <w:iCs w:val="false"/>
          <w:sz w:val="22"/>
          <w:szCs w:val="22"/>
        </w:rPr>
        <w:t xml:space="preserve">Bespreek na afloop: welke vraag bracht het verschil het snelst boven water?</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De les van WGP 2.0, deel twee (20 min, plenair)</w:t>
      </w:r>
    </w:p>
    <w:p>
      <w:pPr>
        <w:spacing w:after="140" w:line="300"/>
      </w:pPr>
      <w:r>
        <w:rPr>
          <w:rFonts w:ascii="Calibri" w:cs="Calibri" w:eastAsia="Calibri" w:hAnsi="Calibri"/>
          <w:b w:val="false"/>
          <w:bCs w:val="false"/>
          <w:i w:val="false"/>
          <w:iCs w:val="false"/>
          <w:sz w:val="22"/>
          <w:szCs w:val="22"/>
        </w:rPr>
        <w:t xml:space="preserve">Formuleer gezamenlijk in maximaal vijf zinnen het antwoord op de vraag: </w:t>
      </w:r>
      <w:r>
        <w:rPr>
          <w:rFonts w:ascii="Calibri" w:cs="Calibri" w:eastAsia="Calibri" w:hAnsi="Calibri"/>
          <w:b w:val="false"/>
          <w:bCs w:val="false"/>
          <w:i/>
          <w:iCs/>
          <w:sz w:val="22"/>
          <w:szCs w:val="22"/>
        </w:rPr>
        <w:t xml:space="preserve">het casusdossier noemt dat bij WGP 2.0 het woord "mutatie" vijf of zes verschillende dingen dekte. Als het WGP 2.0-team de taalkaart had gebruikt, wat had dat waarschijnlijk aan het licht gebracht, en wanneer — vóór de bouw of pas erna?</w:t>
      </w:r>
      <w:r>
        <w:rPr>
          <w:rFonts w:ascii="Calibri" w:cs="Calibri" w:eastAsia="Calibri" w:hAnsi="Calibri"/>
          <w:b w:val="false"/>
          <w:bCs w:val="false"/>
          <w:i w:val="false"/>
          <w:iCs w:val="false"/>
          <w:sz w:val="22"/>
          <w:szCs w:val="22"/>
        </w:rPr>
        <w:t xml:space="preserve"> Bewaar dit antwoord; je hebt het nodig in deel 10.</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1</w:t>
      </w:r>
    </w:p>
    <w:p>
      <w:pPr>
        <w:pStyle w:val="ListParagraph"/>
        <w:numPr>
          <w:ilvl w:val="0"/>
          <w:numId w:val="1"/>
        </w:numPr>
        <w:spacing w:after="80"/>
      </w:pPr>
      <w:r>
        <w:rPr>
          <w:rFonts w:ascii="Calibri" w:cs="Calibri" w:eastAsia="Calibri" w:hAnsi="Calibri"/>
          <w:sz w:val="22"/>
          <w:szCs w:val="22"/>
        </w:rPr>
        <w:t xml:space="preserve">**Toevallig.** "Dossier openen" en "een record aanmaken" beschrijven bij doorvragen hetzelfde moment vanuit een ander vocabulaire (proces versus techniek) — geen verschil in wanneer het gebeurt.</w:t>
      </w:r>
    </w:p>
    <w:p>
      <w:pPr>
        <w:pStyle w:val="ListParagraph"/>
        <w:numPr>
          <w:ilvl w:val="0"/>
          <w:numId w:val="1"/>
        </w:numPr>
        <w:spacing w:after="80"/>
      </w:pPr>
      <w:r>
        <w:rPr>
          <w:rFonts w:ascii="Calibri" w:cs="Calibri" w:eastAsia="Calibri" w:hAnsi="Calibri"/>
          <w:sz w:val="22"/>
          <w:szCs w:val="22"/>
        </w:rPr>
        <w:t xml:space="preserve">**Structureel.** Willemijns moment (inhoudelijke vaststelling) en Corné's moment (eerste betaling) liggen inhoudelijk uiteen — er kan tijd tussen zitten, en er kan tussentijds iets misgaan (bijvoorbeeld een verkeerd rekeningnummer) waardoor het ene wel en het andere nog niet is gebeurd.</w:t>
      </w:r>
    </w:p>
    <w:p>
      <w:pPr>
        <w:pStyle w:val="ListParagraph"/>
        <w:numPr>
          <w:ilvl w:val="0"/>
          <w:numId w:val="1"/>
        </w:numPr>
        <w:spacing w:after="80"/>
      </w:pPr>
      <w:r>
        <w:rPr>
          <w:rFonts w:ascii="Calibri" w:cs="Calibri" w:eastAsia="Calibri" w:hAnsi="Calibri"/>
          <w:sz w:val="22"/>
          <w:szCs w:val="22"/>
        </w:rPr>
        <w:t xml:space="preserve">**Toevallig**, mits bij doorvragen blijkt dat beiden hetzelfde stuk bedoelen. Let op: dit item is met opzet dubbelzinnig — bespreek in de nabespreking dat je het pas zeker weet ná het gesprek, niet ervoor.</w:t>
      </w:r>
    </w:p>
    <w:p>
      <w:pPr>
        <w:pStyle w:val="ListParagraph"/>
        <w:numPr>
          <w:ilvl w:val="0"/>
          <w:numId w:val="1"/>
        </w:numPr>
        <w:spacing w:after="80"/>
      </w:pPr>
      <w:r>
        <w:rPr>
          <w:rFonts w:ascii="Calibri" w:cs="Calibri" w:eastAsia="Calibri" w:hAnsi="Calibri"/>
          <w:sz w:val="22"/>
          <w:szCs w:val="22"/>
        </w:rPr>
        <w:t xml:space="preserve">**Structureel**, en precies het patroon uit dossierstuk 2-B: Willemijn beschrijft één zaak vanuit het perspectief van de communicatie, Daan beschrijft twee zaken vanuit het perspectief van de uitkeringsberekening. Beide kunnen juist zijn — de vraag is of het model beide aspecten apart moet kunnen vastleggen.</w:t>
      </w:r>
    </w:p>
    <w:p>
      <w:pPr>
        <w:pStyle w:val="ListParagraph"/>
        <w:numPr>
          <w:ilvl w:val="0"/>
          <w:numId w:val="1"/>
        </w:numPr>
        <w:spacing w:after="80"/>
      </w:pPr>
      <w:r>
        <w:rPr>
          <w:rFonts w:ascii="Calibri" w:cs="Calibri" w:eastAsia="Calibri" w:hAnsi="Calibri"/>
          <w:sz w:val="22"/>
          <w:szCs w:val="22"/>
        </w:rPr>
        <w:t xml:space="preserve">**Toevallig.** Informeel woordgebruik door dezelfde persoon over dezelfde rol, geen verschil in betekenis.</w:t>
      </w:r>
    </w:p>
    <w:p>
      <w:pPr>
        <w:pStyle w:val="Heading2"/>
        <w:spacing w:after="120" w:before="200"/>
      </w:pPr>
      <w:r>
        <w:rPr>
          <w:rFonts w:ascii="Georgia" w:cs="Georgia" w:eastAsia="Georgia" w:hAnsi="Georgia"/>
          <w:b/>
          <w:bCs/>
          <w:color w:val="2C5AA0"/>
          <w:sz w:val="28"/>
          <w:szCs w:val="28"/>
        </w:rPr>
        <w:t xml:space="preserve">Uitwerking 2</w:t>
      </w:r>
    </w:p>
    <w:p>
      <w:pPr>
        <w:spacing w:after="140" w:line="300"/>
      </w:pPr>
      <w:r>
        <w:rPr>
          <w:rFonts w:ascii="Calibri" w:cs="Calibri" w:eastAsia="Calibri" w:hAnsi="Calibri"/>
          <w:b w:val="false"/>
          <w:bCs w:val="false"/>
          <w:i w:val="false"/>
          <w:iCs w:val="false"/>
          <w:sz w:val="22"/>
          <w:szCs w:val="22"/>
        </w:rPr>
        <w:t xml:space="preserve">a. Willemijn: het moment waarop zij weet dat er recht bestaat (inhoudelijke vaststelling). Corné: het moment van de eerste daadwerkelijke betaling. Saïda: het moment waarop het besluit is vastgelegd én door een tweede paar ogen goedgekeurd.</w:t>
      </w:r>
    </w:p>
    <w:p>
      <w:pPr>
        <w:spacing w:after="140" w:line="300"/>
      </w:pPr>
      <w:r>
        <w:rPr>
          <w:rFonts w:ascii="Calibri" w:cs="Calibri" w:eastAsia="Calibri" w:hAnsi="Calibri"/>
          <w:b w:val="false"/>
          <w:bCs w:val="false"/>
          <w:i w:val="false"/>
          <w:iCs w:val="false"/>
          <w:sz w:val="22"/>
          <w:szCs w:val="22"/>
        </w:rPr>
        <w:t xml:space="preserve">b. </w:t>
      </w:r>
      <w:r>
        <w:rPr>
          <w:rFonts w:ascii="Calibri" w:cs="Calibri" w:eastAsia="Calibri" w:hAnsi="Calibri"/>
          <w:b/>
          <w:bCs/>
          <w:i w:val="false"/>
          <w:iCs w:val="false"/>
          <w:sz w:val="22"/>
          <w:szCs w:val="22"/>
        </w:rPr>
        <w:t xml:space="preserve">Structureel.</w:t>
      </w:r>
      <w:r>
        <w:rPr>
          <w:rFonts w:ascii="Calibri" w:cs="Calibri" w:eastAsia="Calibri" w:hAnsi="Calibri"/>
          <w:b w:val="false"/>
          <w:bCs w:val="false"/>
          <w:i w:val="false"/>
          <w:iCs w:val="false"/>
          <w:sz w:val="22"/>
          <w:szCs w:val="22"/>
        </w:rPr>
        <w:t xml:space="preserve"> Elk moment beschrijft een andere fase met een eigen risico: tussen Willemijns vaststelling en Saïda's goedkeuring kan een fout worden gevonden; tussen Saïda's goedkeuring en Corné's eerste betaling kan een technisch betaalprobleem optreden. Het zijn drie verschillende, opeenvolgende gebeurtenissen, geen drie namen voor dezelfde gebeurtenis.</w:t>
      </w:r>
    </w:p>
    <w:p>
      <w:pPr>
        <w:spacing w:after="140" w:line="300"/>
      </w:pPr>
      <w:r>
        <w:rPr>
          <w:rFonts w:ascii="Calibri" w:cs="Calibri" w:eastAsia="Calibri" w:hAnsi="Calibri"/>
          <w:b w:val="false"/>
          <w:bCs w:val="false"/>
          <w:i w:val="false"/>
          <w:iCs w:val="false"/>
          <w:sz w:val="22"/>
          <w:szCs w:val="22"/>
        </w:rPr>
        <w:t xml:space="preserve">c. Bijvoorbeeld: </w:t>
      </w:r>
      <w:r>
        <w:rPr>
          <w:rFonts w:ascii="Calibri" w:cs="Calibri" w:eastAsia="Calibri" w:hAnsi="Calibri"/>
          <w:b/>
          <w:bCs/>
          <w:i w:val="false"/>
          <w:iCs w:val="false"/>
          <w:sz w:val="22"/>
          <w:szCs w:val="22"/>
        </w:rPr>
        <w:t xml:space="preserve">vastgesteld</w:t>
      </w:r>
      <w:r>
        <w:rPr>
          <w:rFonts w:ascii="Calibri" w:cs="Calibri" w:eastAsia="Calibri" w:hAnsi="Calibri"/>
          <w:b w:val="false"/>
          <w:bCs w:val="false"/>
          <w:i w:val="false"/>
          <w:iCs w:val="false"/>
          <w:sz w:val="22"/>
          <w:szCs w:val="22"/>
        </w:rPr>
        <w:t xml:space="preserve"> (Willemijns moment), </w:t>
      </w:r>
      <w:r>
        <w:rPr>
          <w:rFonts w:ascii="Calibri" w:cs="Calibri" w:eastAsia="Calibri" w:hAnsi="Calibri"/>
          <w:b/>
          <w:bCs/>
          <w:i w:val="false"/>
          <w:iCs w:val="false"/>
          <w:sz w:val="22"/>
          <w:szCs w:val="22"/>
        </w:rPr>
        <w:t xml:space="preserve">goedgekeurd</w:t>
      </w:r>
      <w:r>
        <w:rPr>
          <w:rFonts w:ascii="Calibri" w:cs="Calibri" w:eastAsia="Calibri" w:hAnsi="Calibri"/>
          <w:b w:val="false"/>
          <w:bCs w:val="false"/>
          <w:i w:val="false"/>
          <w:iCs w:val="false"/>
          <w:sz w:val="22"/>
          <w:szCs w:val="22"/>
        </w:rPr>
        <w:t xml:space="preserve"> (Saïda's moment), </w:t>
      </w:r>
      <w:r>
        <w:rPr>
          <w:rFonts w:ascii="Calibri" w:cs="Calibri" w:eastAsia="Calibri" w:hAnsi="Calibri"/>
          <w:b/>
          <w:bCs/>
          <w:i w:val="false"/>
          <w:iCs w:val="false"/>
          <w:sz w:val="22"/>
          <w:szCs w:val="22"/>
        </w:rPr>
        <w:t xml:space="preserve">uitbetaald</w:t>
      </w:r>
      <w:r>
        <w:rPr>
          <w:rFonts w:ascii="Calibri" w:cs="Calibri" w:eastAsia="Calibri" w:hAnsi="Calibri"/>
          <w:b w:val="false"/>
          <w:bCs w:val="false"/>
          <w:i w:val="false"/>
          <w:iCs w:val="false"/>
          <w:sz w:val="22"/>
          <w:szCs w:val="22"/>
        </w:rPr>
        <w:t xml:space="preserve"> (Corné's moment). Andere geldige namen zijn acceptabel zolang ze de drie momenten scherp uit elkaar houden.</w:t>
      </w:r>
    </w:p>
    <w:p>
      <w:pPr>
        <w:spacing w:after="140" w:line="300"/>
      </w:pPr>
      <w:r>
        <w:rPr>
          <w:rFonts w:ascii="Calibri" w:cs="Calibri" w:eastAsia="Calibri" w:hAnsi="Calibri"/>
          <w:b w:val="false"/>
          <w:bCs w:val="false"/>
          <w:i w:val="false"/>
          <w:iCs w:val="false"/>
          <w:sz w:val="22"/>
          <w:szCs w:val="22"/>
        </w:rPr>
        <w:t xml:space="preserve">d. Als er maar één woord "toekenning" bestaat, kan Saïda achteraf niet aantonen op welk moment de tweede-paar-ogen-controle heeft plaatsgevonden ten opzichte van de inhoudelijke vaststelling — beide zijn in het model tot één tijdstip samengevoegd. Bij een compliance-onderzoek of een bezwaar kan dat niet meer gereconstrueerd worden, met precies het soort risico dat Saïda in de reader benoemt.</w:t>
      </w:r>
    </w:p>
    <w:p>
      <w:pPr>
        <w:pStyle w:val="Heading2"/>
        <w:spacing w:after="120" w:before="200"/>
      </w:pPr>
      <w:r>
        <w:rPr>
          <w:rFonts w:ascii="Georgia" w:cs="Georgia" w:eastAsia="Georgia" w:hAnsi="Georgia"/>
          <w:b/>
          <w:bCs/>
          <w:color w:val="2C5AA0"/>
          <w:sz w:val="28"/>
          <w:szCs w:val="28"/>
        </w:rPr>
        <w:t xml:space="preserve">Uitwerking 3</w:t>
      </w:r>
    </w:p>
    <w:p>
      <w:pPr>
        <w:spacing w:after="140" w:line="300"/>
      </w:pPr>
      <w:r>
        <w:rPr>
          <w:rFonts w:ascii="Calibri" w:cs="Calibri" w:eastAsia="Calibri" w:hAnsi="Calibri"/>
          <w:b w:val="false"/>
          <w:bCs w:val="false"/>
          <w:i w:val="false"/>
          <w:iCs w:val="false"/>
          <w:sz w:val="22"/>
          <w:szCs w:val="22"/>
        </w:rPr>
        <w:t xml:space="preserve">Een goede uitwerking voor de term "dossier" in de context van dossierstuk 2-B:</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Term: dossier (bij een wezenpensioenzaak met meerdere kinderen).
Willemijn (communicatie-perspectief): één zaak, ontstaan bij het overlijden, ongeacht het aantal kinderen.
Daan (technisch/uitkeringsperspectief): meerdere aparte zaken, één per kind, ontstaan zodra de uitkeringsberekening per kind wordt vastgesteld.
Structureel of toevallig: structureel — de twee perspectieven beschrijven verschillende, allebei legitieme onderdelen: de relatie met de nabestaande ouder (één) en de financiële afhandeling per kind (meerdere).
Voorlopige conclusie: twee begrippen nodig — bijvoorbeeld een **overlijdenszaak** (één per overlijden, draagt de communicatie) die meerdere **pensioenclaims** bevat (één per kind, draagt de berekening en uitbetaling).
**Dat het verschil maakt:** als we met één "dossier"-begrip doorwerken, sturen we straks per ongeluk twee aparte brieven over hetzelfde overlijden naar dezelfde ouder — precies wat Willemijn in haar e-mail wil voorkomen — of we kunnen andersom de twee uitkeringsbedragen niet los van elkaar corrigeren als er bij één kind iets verandert.</w:t>
            </w:r>
          </w:p>
        </w:tc>
      </w:tr>
    </w:tbl>
    <w:p>
      <w:pPr>
        <w:pStyle w:val="Heading2"/>
        <w:spacing w:after="120" w:before="200"/>
      </w:pPr>
      <w:r>
        <w:rPr>
          <w:rFonts w:ascii="Georgia" w:cs="Georgia" w:eastAsia="Georgia" w:hAnsi="Georgia"/>
          <w:b/>
          <w:bCs/>
          <w:color w:val="2C5AA0"/>
          <w:sz w:val="28"/>
          <w:szCs w:val="28"/>
        </w:rPr>
        <w:t xml:space="preserve">Uitwerking 4</w:t>
      </w:r>
    </w:p>
    <w:p>
      <w:pPr>
        <w:spacing w:after="140" w:line="300"/>
      </w:pPr>
      <w:r>
        <w:rPr>
          <w:rFonts w:ascii="Calibri" w:cs="Calibri" w:eastAsia="Calibri" w:hAnsi="Calibri"/>
          <w:b w:val="false"/>
          <w:bCs w:val="false"/>
          <w:i w:val="false"/>
          <w:iCs w:val="false"/>
          <w:sz w:val="22"/>
          <w:szCs w:val="22"/>
        </w:rPr>
        <w:t xml:space="preserve">Met één gekozen definitie ("dossier = alles vanaf de eerste melding") blijft onzichtbaar dat Saïda een apart, navolgbaar moment nodig heeft voor de compliance-check. Het probleem komt waarschijnlijk pas aan het licht bij het eerste compliance-onderzoek of bezwaar, wanneer blijkt dat het systeem niet kan tonen wanneer de controle exact heeft plaatsgevonden ten opzichte van de intake — met andere woorden: pas ná oplevering, op precies het moment waarop het duurst is om te herstellen. Dat is hetzelfde patroon als bij WGP 2.0, waar het gebrek aan onderscheid pas na livegang zichtbaar werd.</w:t>
      </w:r>
    </w:p>
    <w:p>
      <w:pPr>
        <w:pStyle w:val="Heading2"/>
        <w:spacing w:after="120" w:before="200"/>
      </w:pPr>
      <w:r>
        <w:rPr>
          <w:rFonts w:ascii="Georgia" w:cs="Georgia" w:eastAsia="Georgia" w:hAnsi="Georgia"/>
          <w:b/>
          <w:bCs/>
          <w:color w:val="2C5AA0"/>
          <w:sz w:val="28"/>
          <w:szCs w:val="28"/>
        </w:rPr>
        <w:t xml:space="preserve">Uitwerking 5</w:t>
      </w:r>
    </w:p>
    <w:p>
      <w:pPr>
        <w:spacing w:after="140" w:line="300"/>
      </w:pPr>
      <w:r>
        <w:rPr>
          <w:rFonts w:ascii="Calibri" w:cs="Calibri" w:eastAsia="Calibri" w:hAnsi="Calibri"/>
          <w:b w:val="false"/>
          <w:bCs w:val="false"/>
          <w:i w:val="false"/>
          <w:iCs w:val="false"/>
          <w:sz w:val="22"/>
          <w:szCs w:val="22"/>
        </w:rPr>
        <w:t xml:space="preserve">Aandachtspunten voor de nabespreking:</w:t>
      </w:r>
    </w:p>
    <w:p>
      <w:pPr>
        <w:pStyle w:val="ListParagraph"/>
        <w:numPr>
          <w:ilvl w:val="0"/>
          <w:numId w:val="1"/>
        </w:numPr>
        <w:spacing w:after="80"/>
      </w:pPr>
      <w:r>
        <w:rPr>
          <w:rFonts w:ascii="Calibri" w:cs="Calibri" w:eastAsia="Calibri" w:hAnsi="Calibri"/>
          <w:sz w:val="22"/>
          <w:szCs w:val="22"/>
        </w:rPr>
        <w:t xml:space="preserve">Bij "dossier" werkt de vraag "wat weet je op dat moment dat je een moment eerder nog niet wist?" het snelst om het verschil bloot te leggen.</w:t>
      </w:r>
    </w:p>
    <w:p>
      <w:pPr>
        <w:pStyle w:val="ListParagraph"/>
        <w:numPr>
          <w:ilvl w:val="0"/>
          <w:numId w:val="1"/>
        </w:numPr>
        <w:spacing w:after="80"/>
      </w:pPr>
      <w:r>
        <w:rPr>
          <w:rFonts w:ascii="Calibri" w:cs="Calibri" w:eastAsia="Calibri" w:hAnsi="Calibri"/>
          <w:sz w:val="22"/>
          <w:szCs w:val="22"/>
        </w:rPr>
        <w:t xml:space="preserve">Bij "afgehandeld" is de valkuil dat beide spelers aannemen dat ze hetzelfde bedoelen totdat er wordt doorgevraagd naar een concreet dossiernummer of scenario — abstract navragen levert vaak schijnovereenstemming op.</w:t>
      </w:r>
    </w:p>
    <w:p>
      <w:pPr>
        <w:pStyle w:val="ListParagraph"/>
        <w:numPr>
          <w:ilvl w:val="0"/>
          <w:numId w:val="1"/>
        </w:numPr>
        <w:spacing w:after="80"/>
      </w:pPr>
      <w:r>
        <w:rPr>
          <w:rFonts w:ascii="Calibri" w:cs="Calibri" w:eastAsia="Calibri" w:hAnsi="Calibri"/>
          <w:sz w:val="22"/>
          <w:szCs w:val="22"/>
        </w:rPr>
        <w:t xml:space="preserve">Een goed teken tijdens het gesprek: het moment waarop een van beide spelers zegt "wacht, dus voor jou is het dan al …" — dat is het moment waarop het verschil zichtbaar wordt in plaats van aangenomen.</w:t>
      </w:r>
    </w:p>
    <w:p>
      <w:pPr>
        <w:pStyle w:val="Heading2"/>
        <w:spacing w:after="120" w:before="200"/>
      </w:pPr>
      <w:r>
        <w:rPr>
          <w:rFonts w:ascii="Georgia" w:cs="Georgia" w:eastAsia="Georgia" w:hAnsi="Georgia"/>
          <w:b/>
          <w:bCs/>
          <w:color w:val="2C5AA0"/>
          <w:sz w:val="28"/>
          <w:szCs w:val="28"/>
        </w:rPr>
        <w:t xml:space="preserve">Uitwerking 6</w:t>
      </w:r>
    </w:p>
    <w:p>
      <w:pPr>
        <w:spacing w:after="140" w:line="300"/>
      </w:pPr>
      <w:r>
        <w:rPr>
          <w:rFonts w:ascii="Calibri" w:cs="Calibri" w:eastAsia="Calibri" w:hAnsi="Calibri"/>
          <w:b w:val="false"/>
          <w:bCs w:val="false"/>
          <w:i w:val="false"/>
          <w:iCs w:val="false"/>
          <w:sz w:val="22"/>
          <w:szCs w:val="22"/>
        </w:rPr>
        <w:t xml:space="preserve">Een goed antwoord bevat deze keten: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Als het WGP 2.0-team de taalkaart had gebruikt op het woord "mutatie", was al vóór de bouw duidelijk geworden dat verschillende rollen — Uitvoering, Klantenservice werkgevers, de analisten zelf — er verschillende, structureel uiteenlopende dingen mee bedoelden: een eenvoudige adreswijziging is inhoudelijk iets anders dan een correctie met terugwerkende kracht die meerdere regelingen raakt. Die verschillen waren dan vóór de bouw zichtbaar geworden als aparte begrippen die elk hun eigen behandeling verdienden, in plaats van pas ná livegang te blijken uit het feit dat vier op de tien mutaties niet in het model pasten. Het verschil tussen vooraf en achteraf ontdekken is precies het verschil tussen een woordenlijst die weglegt en een taalkaart die openlegt.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2026-08-16T19:17:58.881Z</dcterms:created>
  <dcterms:modified xsi:type="dcterms:W3CDTF">2026-08-16T19:17:58.881Z</dcterms:modified>
</cp:coreProperties>
</file>

<file path=docProps/custom.xml><?xml version="1.0" encoding="utf-8"?>
<Properties xmlns="http://schemas.openxmlformats.org/officeDocument/2006/custom-properties" xmlns:vt="http://schemas.openxmlformats.org/officeDocument/2006/docPropsVTypes"/>
</file>