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3 — Domain, subdomain: core, supporting, generic</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3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3 bouwt voort op deel 1 en 2 en verbreedt het perspectief van het team voor het eerst van "één onderdeel goed doordenken" naar "het hele Nabestaandenloket ordenen". Waar deel 1 vaststelde óf een onderdeel de DDD-investering waard is en deel 2 zorgde dat de taal van dat ene onderdeel scherp werd, laat dit deel zien dat het Nabestaandenloket uit meerdere onderdelen bestaat die niet allemaal dezelfde behandeling verdienen. Dit deel is ook de eerste keer dat deelnemers kennismaken met een indeling die in niveau 2 (deel 12) op landschapsschaal terugkomt — benoem dat expliciet, het is geen toeval.</w:t>
      </w:r>
    </w:p>
    <w:p>
      <w:pPr>
        <w:pStyle w:val="ListParagraph"/>
        <w:numPr>
          <w:ilvl w:val="0"/>
          <w:numId w:val="1"/>
        </w:numPr>
        <w:spacing w:after="80"/>
      </w:pPr>
      <w:r>
        <w:rPr>
          <w:rFonts w:ascii="Calibri" w:cs="Calibri" w:eastAsia="Calibri" w:hAnsi="Calibri"/>
          <w:sz w:val="22"/>
          <w:szCs w:val="22"/>
        </w:rPr>
        <w:t xml:space="preserve">**Module-onderdeel:** voorbereidend op het curriculumonderdeel "domain, model en ubiquitous language" van de iSAQB Advanced-module DDD.</w:t>
      </w:r>
    </w:p>
    <w:p>
      <w:pPr>
        <w:pStyle w:val="ListParagraph"/>
        <w:numPr>
          <w:ilvl w:val="0"/>
          <w:numId w:val="1"/>
        </w:numPr>
        <w:spacing w:after="80"/>
      </w:pPr>
      <w:r>
        <w:rPr>
          <w:rFonts w:ascii="Calibri" w:cs="Calibri" w:eastAsia="Calibri" w:hAnsi="Calibri"/>
          <w:sz w:val="22"/>
          <w:szCs w:val="22"/>
        </w:rPr>
        <w:t xml:space="preserve">**Werkvorm:** de domeinindeling.</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en 2 afgerond, complexiteitstoets en taalkaart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1 en 2,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en subdomain; de casus van Daans lijst met zes punten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core, supporting of generic, klassikaal nabespreken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dossierstuk 3-A en 3-B ontleden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domeinindeling: de velden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eigen domeinindeling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de verkeerde aandacht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de les van WGP 2.0,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4</w:t>
            </w:r>
          </w:p>
        </w:tc>
      </w:tr>
    </w:tbl>
    <w:p>
      <w:pPr>
        <w:spacing w:after="140" w:line="300"/>
      </w:pPr>
      <w:r>
        <w:rPr>
          <w:rFonts w:ascii="Calibri" w:cs="Calibri" w:eastAsia="Calibri" w:hAnsi="Calibri"/>
          <w:b w:val="false"/>
          <w:bCs w:val="false"/>
          <w:i w:val="false"/>
          <w:iCs w:val="false"/>
          <w:sz w:val="22"/>
          <w:szCs w:val="22"/>
        </w:rPr>
        <w:t xml:space="preserve">Loop je uit, dan schrap je opdracht 4 en verwerk je de kernvraag ("wat gaat er mis bij verkeerde aandacht") mondeling in de nabespreking van opdracht 3. Schrap nooit opdracht 5: het gesprek over de UWV-samenloop is het enige onderdeel waarin deelnemers ervaren dat een classificatie niet altijd eenduidig is en dat "supporting met een aantekening" een geldige, verdedigbare uitkomst kan zijn.</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subdomain.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*"Stel dat je één dag extra tijd krijgt voor het Nabestaandenloket, geen minuut meer. Aan welk van de zes onderdelen op Daans lijst — recht vaststellen, adres bijhouden, documentopslag, UWV-samenloop, authenticatie, de toekenningsbrief — zou je die dag besteden, en waarom niet aan een van de andere vijf?"*</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Vrijwel altijd wijst de groep intuïtief naar de rechtvaststelling, maar de onderbouwing is meestal vaag ("dat lijkt me het belangrijkst"). Dat is precies het punt: de groep voelt het onderscheid al aan, maar heeft nog geen taal om het te verdedigen. Bewaar de flap; aan het eind van het deel herhaal je de vraag en kan de groep hem nu met de begrippen core, supporting en generic beantwoorden.</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Domain en subdomain (0:15-0:45).</w:t>
      </w:r>
      <w:r>
        <w:rPr>
          <w:rFonts w:ascii="Calibri" w:cs="Calibri" w:eastAsia="Calibri" w:hAnsi="Calibri"/>
          <w:b w:val="false"/>
          <w:bCs w:val="false"/>
          <w:i w:val="false"/>
          <w:iCs w:val="false"/>
          <w:sz w:val="22"/>
          <w:szCs w:val="22"/>
        </w:rPr>
        <w:t xml:space="preserve"> Besteed extra tijd aan het punt dat de indeling losstaat van de bestaande systeemgrenzen (§3.3 in de reader, figuur 3-3). Dit is het element dat de meeste verwarring oplevert: deelnemers met een technische achtergrond willen de indeling al snel op modules of schermen plakken. Herhaal dat de vraag niet is "waar staat het nu" maar "waarom bestaat dit voor de organisatie".</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 groep zelf het contrast tussen punt 1 en punt 5 op Daans lijst benoemen, voordat je het zelf uitlegt. Vraag: "wat is het verschil tussen deze twee punten, los van hoeveel werk ze allebei zijn?" Dat opent vanzelf het onderscheid tussen omvang en gewicht — precies de conclusie die Daan aan het eind van de reader trekt.</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4 (UWV-samenloop) en item 6 (de brief) leveren de meeste discussie op — dat is met opzet. Laat de groep zelf ontdekken dat niet elk onderdeel zich netjes in één van de drie categorieën laat persen, en dat een genuanceerde uitkomst ("supporting met een aantekening") beter is dan een gedwongen keuze.</w:t>
      </w:r>
    </w:p>
    <w:p>
      <w:pPr>
        <w:spacing w:after="140" w:line="300"/>
      </w:pPr>
      <w:r>
        <w:rPr>
          <w:rFonts w:ascii="Calibri" w:cs="Calibri" w:eastAsia="Calibri" w:hAnsi="Calibri"/>
          <w:b/>
          <w:bCs/>
          <w:i w:val="false"/>
          <w:iCs w:val="false"/>
          <w:sz w:val="22"/>
          <w:szCs w:val="22"/>
        </w:rPr>
        <w:t xml:space="preserve">De domeinindeling (1:35-1:55).</w:t>
      </w:r>
      <w:r>
        <w:rPr>
          <w:rFonts w:ascii="Calibri" w:cs="Calibri" w:eastAsia="Calibri" w:hAnsi="Calibri"/>
          <w:b w:val="false"/>
          <w:bCs w:val="false"/>
          <w:i w:val="false"/>
          <w:iCs w:val="false"/>
          <w:sz w:val="22"/>
          <w:szCs w:val="22"/>
        </w:rPr>
        <w:t xml:space="preserve"> Introduceer de velden in volgorde en benoem uitdrukkelijk dat het vijfde veld — "dat het verschil maakt" — opnieuw het veld is dat het snelst wordt overgeslagen en de meeste waarde levert. Benoem de parallel met de complexiteitstoets (deel 1) en de taalkaart (deel 2) hardop: dit is het derde instrument op rij met dezelfde opbouw, en deelnemers mogen daar gerust op vertrouwen.</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Laat deelnemers hun ingevulde blad voorlezen, niet uitdelen. Let op of de classificatie is onderbouwd met de twee tussenliggende vragen (uniek of elders opgelost; specifiek genoeg om zelf te bouwen) of dat er meteen naar een label wordt gesprongen. Beperk je feedback tot de vraag "hoe weet je dat het uniek is voor Meridiaan?" — dat dwingt naar een concreet argument.</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Dit is het lastigste onderdeel om te begeleiden, net als in deel 1 en 2. Drie aanwijzingen:</w:t>
      </w:r>
    </w:p>
    <w:p>
      <w:pPr>
        <w:pStyle w:val="ListParagraph"/>
        <w:numPr>
          <w:ilvl w:val="0"/>
          <w:numId w:val="1"/>
        </w:numPr>
        <w:spacing w:after="80"/>
      </w:pPr>
      <w:r>
        <w:rPr>
          <w:rFonts w:ascii="Calibri" w:cs="Calibri" w:eastAsia="Calibri" w:hAnsi="Calibri"/>
          <w:sz w:val="22"/>
          <w:szCs w:val="22"/>
        </w:rPr>
        <w:t xml:space="preserve">Instrueer beide spelers om het gesprek uit dossierstuk 3-B als startpunt te nemen, niet als eindpunt — het is de bedoeling dat ze verder komen dan de tegenstelling die daar staat.</w:t>
      </w:r>
    </w:p>
    <w:p>
      <w:pPr>
        <w:pStyle w:val="ListParagraph"/>
        <w:numPr>
          <w:ilvl w:val="0"/>
          <w:numId w:val="1"/>
        </w:numPr>
        <w:spacing w:after="80"/>
      </w:pPr>
      <w:r>
        <w:rPr>
          <w:rFonts w:ascii="Calibri" w:cs="Calibri" w:eastAsia="Calibri" w:hAnsi="Calibri"/>
          <w:sz w:val="22"/>
          <w:szCs w:val="22"/>
        </w:rPr>
        <w:t xml:space="preserve">Grijp niet in als het gesprek uitkomt op "supporting met een aantekening" in plaats van een schoon core/generic-oordeel. Dat is een geldige, zelfs wenselijke uitkomst — geen falen van de opdracht.</w:t>
      </w:r>
    </w:p>
    <w:p>
      <w:pPr>
        <w:pStyle w:val="ListParagraph"/>
        <w:numPr>
          <w:ilvl w:val="0"/>
          <w:numId w:val="1"/>
        </w:numPr>
        <w:spacing w:after="80"/>
      </w:pPr>
      <w:r>
        <w:rPr>
          <w:rFonts w:ascii="Calibri" w:cs="Calibri" w:eastAsia="Calibri" w:hAnsi="Calibri"/>
          <w:sz w:val="22"/>
          <w:szCs w:val="22"/>
        </w:rPr>
        <w:t xml:space="preserve">Bespreek na met de vraag "welk gesprek gaf de scherpste uitkomst en welk gesprek bleef genuanceerd, en waarom?" — dat voorkomt dat deelnemers denken dat elke classificatie eenduidig moet zijn.</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het onderscheid tussen evenveel aandacht en aandacht in verhouding tot gewicht. Als de groep blijft hangen in "dat hadden ze korter moeten opschrijven", stel dan de vraag: "welk deel van het werkgeversportaal was, achteraf gezien, waarschijnlijk generic — en hoeveel van de 340 pagina's ging daar waarschijnlijk aan op?"</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Classificatie gekoppeld aan een bestaand scherm of tabel in plaats van aan het "waarom"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denkt nog in systeemgrenzen, niet in domeinbetekenis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dit systeem morgen anders was opgeknipt, zou dit onderdeel dan nog steeds core/supporting/generic zijn?"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Alles wat "moeilijk te bouwen" is, wordt automatisch core genoemd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technische complexiteit en domeinbelang — vergelijkbaar met de valkuil bij de complexiteitstoets in deel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terug naar deel 1: technische complexiteit is een aparte as, geen synoniem voor core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leeg of algemeen ("dat is zonde van de tijd")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merkt het als eerste, en waarbij precies?"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Weerstand tegen "supporting met een aantekening" — deelnemer wil een schoon label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Ongemak met nuance na twee delen met scherpere uitkomsten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aan Willemijn en Saïda's gesprek in de reader: een genuanceerde, beargumenteerde uitkomst is sterker dan een gedwongen keuze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Generic-onderdelen krijgen toch een uitgebreide domeinindeling-behandeling "voor de volledigheid"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Perfectionisme, of onzekerheid over wanneer je mag stoppen met analyseren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"wat zou Rutger hiervan zeggen?" — verwijs naar zijn opmerking in de reader over authenticatie</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3 wordt niet becijferd. Wel houd je per deelnemer bij of de domeinindeling uit opdracht 3 aan drie eisen voldoet; dat is het derde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de classificatie van elk onderdeel is onderbouwd met de twee tussenliggende vragen, niet alleen met een label; er is een zichtbaar, beargumenteerd verschil tussen het core-, het supporting- en het generic-onderdeel;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3, inclusief dossierstukken 3-A en 3-B</w:t>
      </w:r>
    </w:p>
    <w:p>
      <w:pPr>
        <w:pStyle w:val="ListParagraph"/>
        <w:numPr>
          <w:ilvl w:val="0"/>
          <w:numId w:val="1"/>
        </w:numPr>
        <w:spacing w:after="80"/>
      </w:pPr>
      <w:r>
        <w:rPr>
          <w:rFonts w:ascii="Calibri" w:cs="Calibri" w:eastAsia="Calibri" w:hAnsi="Calibri"/>
          <w:sz w:val="22"/>
          <w:szCs w:val="22"/>
        </w:rPr>
        <w:t xml:space="preserve">Slidedeck deel 3</w:t>
      </w:r>
    </w:p>
    <w:p>
      <w:pPr>
        <w:pStyle w:val="ListParagraph"/>
        <w:numPr>
          <w:ilvl w:val="0"/>
          <w:numId w:val="1"/>
        </w:numPr>
        <w:spacing w:after="80"/>
      </w:pPr>
      <w:r>
        <w:rPr>
          <w:rFonts w:ascii="Calibri" w:cs="Calibri" w:eastAsia="Calibri" w:hAnsi="Calibri"/>
          <w:sz w:val="22"/>
          <w:szCs w:val="22"/>
        </w:rPr>
        <w:t xml:space="preserve">Flap-over voor de openingsvraag (bewaren tot het einde van deze sessie, én tot deel 10)</w:t>
      </w:r>
    </w:p>
    <w:p>
      <w:pPr>
        <w:pStyle w:val="ListParagraph"/>
        <w:numPr>
          <w:ilvl w:val="0"/>
          <w:numId w:val="1"/>
        </w:numPr>
        <w:spacing w:after="80"/>
      </w:pPr>
      <w:r>
        <w:rPr>
          <w:rFonts w:ascii="Calibri" w:cs="Calibri" w:eastAsia="Calibri" w:hAnsi="Calibri"/>
          <w:sz w:val="22"/>
          <w:szCs w:val="22"/>
        </w:rPr>
        <w:t xml:space="preserve">Blanco domeinindeling-invulbladen, minstens drie per deelnemer</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De indeling in domain, subdomain, core domain, supporting subdomain en generic subdomain is standaard begrippenapparaat binnen "domain, model en ubiquitous language" in het officiële curriculum van de iSAQB Advanced-module DDD — dit deel behandelt dus kernstof, geen zijstap.</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Dit deel is bewust beperkt tot de indeling bínnen één subdomain (het Nabestaandenloket). De landschapsbrede toepassing van dezelfde begrippen — waar core, supporting en generic strategisch worden gebruikt om prioriteit tussen meerdere systemen te bepalen — komt terug in deel 12 van niveau 2. Vertel deelnemers dat dit geen herhaling wordt maar een schaalsprong: hier leren ze het onderscheid herkennen, daar leren ze het gebruiken om portfoliokeuzes te maken.</w:t>
      </w:r>
    </w:p>
    <w:p>
      <w:pPr>
        <w:pStyle w:val="ListParagraph"/>
        <w:numPr>
          <w:ilvl w:val="0"/>
          <w:numId w:val="1"/>
        </w:numPr>
        <w:spacing w:after="80"/>
      </w:pPr>
      <w:r>
        <w:rPr>
          <w:rFonts w:ascii="Calibri" w:cs="Calibri" w:eastAsia="Calibri" w:hAnsi="Calibri"/>
          <w:sz w:val="22"/>
          <w:szCs w:val="22"/>
        </w:rPr>
        <w:t xml:space="preserve">Deelnemers vragen soms of "generic" betekent dat een onderdeel onbelangrijk is. Wees hier precies: generic betekent dat het probleem niet uniek is voor deze organisatie, niet dat het onbelangrijk is om goed te doen. Een slecht werkende authenticatie is nog steeds een probleem — het is alleen geen DDD-probleem.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2026-08-16T19:17:59.032Z</dcterms:created>
  <dcterms:modified xsi:type="dcterms:W3CDTF">2026-08-16T19:17:59.032Z</dcterms:modified>
</cp:coreProperties>
</file>

<file path=docProps/custom.xml><?xml version="1.0" encoding="utf-8"?>
<Properties xmlns="http://schemas.openxmlformats.org/officeDocument/2006/custom-properties" xmlns:vt="http://schemas.openxmlformats.org/officeDocument/2006/docPropsVTypes"/>
</file>