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3 — Domain, subdomain: core, supporting, generic</w:t>
      </w:r>
    </w:p>
    <w:p>
      <w:pPr>
        <w:spacing w:after="140" w:line="300"/>
      </w:pPr>
      <w:r>
        <w:rPr>
          <w:rFonts w:ascii="Calibri" w:cs="Calibri" w:eastAsia="Calibri" w:hAnsi="Calibri"/>
          <w:b w:val="false"/>
          <w:bCs w:val="false"/>
          <w:i w:val="false"/>
          <w:iCs w:val="false"/>
          <w:sz w:val="22"/>
          <w:szCs w:val="22"/>
        </w:rPr>
        <w:t xml:space="preserve">Werkboek · Ductus-cursus Domain-Driven Design · niveau 1 · deel 3 van 30</w:t>
      </w:r>
    </w:p>
    <w:p>
      <w:pPr>
        <w:spacing w:after="140" w:line="300"/>
      </w:pPr>
      <w:r>
        <w:rPr>
          <w:rFonts w:ascii="Calibri" w:cs="Calibri" w:eastAsia="Calibri" w:hAnsi="Calibri"/>
          <w:b w:val="false"/>
          <w:bCs w:val="false"/>
          <w:i w:val="false"/>
          <w:iCs w:val="false"/>
          <w:sz w:val="22"/>
          <w:szCs w:val="22"/>
        </w:rPr>
        <w:t xml:space="preserve">Zes opdrachten, samen ongeveer een dagdeel. Opdracht 1 tot en met 4 zijn individueel, opdracht 5 in tweetallen, opdracht 6 plenair. De uitwerkingen staan achterin; werk een opdracht af voordat je die leest.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3-A — Uit het projectlogboek van het Nabestaandenloket-team</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**Actiepunt 14 (Daan Kuiper).** Overzicht gemaakt van alles wat het Nabestaandenloket volgens mij nodig heeft: (1) vaststellen recht op partner-/wezenpensioen inclusief samenloop van claims, (2) bijhouden correspondentieadres nabestaande, (3) opslag geüploade documenten (overlijdensakte, samenlevingscontract), (4) samenloopberekening met UWV-uitkering (Anw/WIA), (5) authenticatie medewerkers Nabestaandenzaken op het portaal, (6) genereren van de toekennings- of afwijzingsbrief in begrijpelijke taal.</w:t>
            </w:r>
          </w:p>
          <w:p>
            <w:pPr>
              <w:spacing w:after="100" w:line="280"/>
            </w:pPr>
            <w:r>
              <w:rPr>
                <w:rFonts w:ascii="Calibri" w:cs="Calibri" w:eastAsia="Calibri" w:hAnsi="Calibri"/>
                <w:i/>
                <w:iCs/>
                <w:sz w:val="22"/>
                <w:szCs w:val="22"/>
              </w:rPr>
              <w:t xml:space="preserve">**Reactie Rutger Zeeman.** "Zes punten op één lijst, alsof het één ding is. Punt 1 kost ons maanden aan gesprekken met Willemijn. Punt 5 kopen we volgende week in bij een leverancier die dit al voor twintig andere klanten doet."</w:t>
            </w:r>
          </w:p>
          <w:p>
            <w:pPr>
              <w:spacing w:after="100" w:line="280"/>
            </w:pPr>
            <w:r>
              <w:rPr>
                <w:rFonts w:ascii="Calibri" w:cs="Calibri" w:eastAsia="Calibri" w:hAnsi="Calibri"/>
                <w:i/>
                <w:iCs/>
                <w:sz w:val="22"/>
                <w:szCs w:val="22"/>
              </w:rPr>
              <w:t xml:space="preserve">**Reactie Willemijn Brugman.** "Punt 6 hoort bij punt 1, niet los. De toon van een afwijzingsbrief ís onderdeel van hoe zorgvuldig we recht vaststellen — dat kun je niet achteraf even taalkundig oppoetsen als de vaststelling zelf niet klopt."</w:t>
            </w:r>
          </w:p>
        </w:tc>
      </w:tr>
    </w:tbl>
    <w:p>
      <w:pPr>
        <w:pStyle w:val="Heading2"/>
        <w:spacing w:after="120" w:before="200"/>
      </w:pPr>
      <w:r>
        <w:rPr>
          <w:rFonts w:ascii="Georgia" w:cs="Georgia" w:eastAsia="Georgia" w:hAnsi="Georgia"/>
          <w:b/>
          <w:bCs/>
          <w:color w:val="2C5AA0"/>
          <w:sz w:val="28"/>
          <w:szCs w:val="28"/>
        </w:rPr>
        <w:t xml:space="preserve">Dossierstuk 3-B — Fragment uit een gesprek tussen Saïda Fontein en Corné Pauwels</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**Saïda:** "Ik maak me zorgen over de samenloopberekening met het UWV. Als we die zelf gaan bouwen met dezelfde diepgang als de rechtvaststelling, duurt het jaren voor we live kunnen. Maar als we hem te licht behandelen, tellen we straks een Anw-uitkering verkeerd mee en betalen we een nabestaande te veel of te weinig uit."</w:t>
            </w:r>
          </w:p>
          <w:p>
            <w:pPr>
              <w:spacing w:after="100" w:line="280"/>
            </w:pPr>
            <w:r>
              <w:rPr>
                <w:rFonts w:ascii="Calibri" w:cs="Calibri" w:eastAsia="Calibri" w:hAnsi="Calibri"/>
                <w:i/>
                <w:iCs/>
                <w:sz w:val="22"/>
                <w:szCs w:val="22"/>
              </w:rPr>
              <w:t xml:space="preserve">**Corné:** "Dat is precies waarom ik wil dat mijn mensen — Willemijn voorop — zeggenschap houden over de kennis, ook als we de rekenkundige verwerking zelf ergens anders beleggen of een bestaand rekenmodel overnemen. Het gaat mij niet om wie de code schrijft. Het gaat mij om wie kan uitleggen waarom een bedrag is zoals het is."</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 — Core, supporting of generic? (15 min)</w:t>
      </w:r>
    </w:p>
    <w:p>
      <w:pPr>
        <w:spacing w:after="140" w:line="300"/>
      </w:pPr>
      <w:r>
        <w:rPr>
          <w:rFonts w:ascii="Calibri" w:cs="Calibri" w:eastAsia="Calibri" w:hAnsi="Calibri"/>
          <w:b w:val="false"/>
          <w:bCs w:val="false"/>
          <w:i w:val="false"/>
          <w:iCs w:val="false"/>
          <w:sz w:val="22"/>
          <w:szCs w:val="22"/>
        </w:rPr>
        <w:t xml:space="preserve">Classificeer elk onderdeel uit dossierstuk 3-A als waarschijnlijk </w:t>
      </w:r>
      <w:r>
        <w:rPr>
          <w:rFonts w:ascii="Calibri" w:cs="Calibri" w:eastAsia="Calibri" w:hAnsi="Calibri"/>
          <w:b/>
          <w:bCs/>
          <w:i w:val="false"/>
          <w:iCs w:val="false"/>
          <w:sz w:val="22"/>
          <w:szCs w:val="22"/>
        </w:rPr>
        <w:t xml:space="preserve">core</w:t>
      </w: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supporting</w:t>
      </w:r>
      <w:r>
        <w:rPr>
          <w:rFonts w:ascii="Calibri" w:cs="Calibri" w:eastAsia="Calibri" w:hAnsi="Calibri"/>
          <w:b w:val="false"/>
          <w:bCs w:val="false"/>
          <w:i w:val="false"/>
          <w:iCs w:val="false"/>
          <w:sz w:val="22"/>
          <w:szCs w:val="22"/>
        </w:rPr>
        <w:t xml:space="preserve"> of </w:t>
      </w:r>
      <w:r>
        <w:rPr>
          <w:rFonts w:ascii="Calibri" w:cs="Calibri" w:eastAsia="Calibri" w:hAnsi="Calibri"/>
          <w:b/>
          <w:bCs/>
          <w:i w:val="false"/>
          <w:iCs w:val="false"/>
          <w:sz w:val="22"/>
          <w:szCs w:val="22"/>
        </w:rPr>
        <w:t xml:space="preserve">generic</w:t>
      </w:r>
      <w:r>
        <w:rPr>
          <w:rFonts w:ascii="Calibri" w:cs="Calibri" w:eastAsia="Calibri" w:hAnsi="Calibri"/>
          <w:b w:val="false"/>
          <w:bCs w:val="false"/>
          <w:i w:val="false"/>
          <w:iCs w:val="false"/>
          <w:sz w:val="22"/>
          <w:szCs w:val="22"/>
        </w:rPr>
        <w:t xml:space="preserve">, met één zin onderbouwing.</w:t>
      </w:r>
    </w:p>
    <w:p>
      <w:pPr>
        <w:pStyle w:val="ListParagraph"/>
        <w:numPr>
          <w:ilvl w:val="0"/>
          <w:numId w:val="1"/>
        </w:numPr>
        <w:spacing w:after="80"/>
      </w:pPr>
      <w:r>
        <w:rPr>
          <w:rFonts w:ascii="Calibri" w:cs="Calibri" w:eastAsia="Calibri" w:hAnsi="Calibri"/>
          <w:sz w:val="22"/>
          <w:szCs w:val="22"/>
        </w:rPr>
        <w:t xml:space="preserve">Vaststellen recht op partner-/wezenpensioen inclusief samenloop van claims.</w:t>
      </w:r>
    </w:p>
    <w:p>
      <w:pPr>
        <w:pStyle w:val="ListParagraph"/>
        <w:numPr>
          <w:ilvl w:val="0"/>
          <w:numId w:val="1"/>
        </w:numPr>
        <w:spacing w:after="80"/>
      </w:pPr>
      <w:r>
        <w:rPr>
          <w:rFonts w:ascii="Calibri" w:cs="Calibri" w:eastAsia="Calibri" w:hAnsi="Calibri"/>
          <w:sz w:val="22"/>
          <w:szCs w:val="22"/>
        </w:rPr>
        <w:t xml:space="preserve">Bijhouden correspondentieadres nabestaande.</w:t>
      </w:r>
    </w:p>
    <w:p>
      <w:pPr>
        <w:pStyle w:val="ListParagraph"/>
        <w:numPr>
          <w:ilvl w:val="0"/>
          <w:numId w:val="1"/>
        </w:numPr>
        <w:spacing w:after="80"/>
      </w:pPr>
      <w:r>
        <w:rPr>
          <w:rFonts w:ascii="Calibri" w:cs="Calibri" w:eastAsia="Calibri" w:hAnsi="Calibri"/>
          <w:sz w:val="22"/>
          <w:szCs w:val="22"/>
        </w:rPr>
        <w:t xml:space="preserve">Opslag geüploade documenten (het technische opslagmechanisme zelf, niet de regels over welk document bij welk dossier hoort).</w:t>
      </w:r>
    </w:p>
    <w:p>
      <w:pPr>
        <w:pStyle w:val="ListParagraph"/>
        <w:numPr>
          <w:ilvl w:val="0"/>
          <w:numId w:val="1"/>
        </w:numPr>
        <w:spacing w:after="80"/>
      </w:pPr>
      <w:r>
        <w:rPr>
          <w:rFonts w:ascii="Calibri" w:cs="Calibri" w:eastAsia="Calibri" w:hAnsi="Calibri"/>
          <w:sz w:val="22"/>
          <w:szCs w:val="22"/>
        </w:rPr>
        <w:t xml:space="preserve">Samenloopberekening met UWV-uitkering.</w:t>
      </w:r>
    </w:p>
    <w:p>
      <w:pPr>
        <w:pStyle w:val="ListParagraph"/>
        <w:numPr>
          <w:ilvl w:val="0"/>
          <w:numId w:val="1"/>
        </w:numPr>
        <w:spacing w:after="80"/>
      </w:pPr>
      <w:r>
        <w:rPr>
          <w:rFonts w:ascii="Calibri" w:cs="Calibri" w:eastAsia="Calibri" w:hAnsi="Calibri"/>
          <w:sz w:val="22"/>
          <w:szCs w:val="22"/>
        </w:rPr>
        <w:t xml:space="preserve">Authenticatie medewerkers op het portaal.</w:t>
      </w:r>
    </w:p>
    <w:p>
      <w:pPr>
        <w:pStyle w:val="ListParagraph"/>
        <w:numPr>
          <w:ilvl w:val="0"/>
          <w:numId w:val="1"/>
        </w:numPr>
        <w:spacing w:after="80"/>
      </w:pPr>
      <w:r>
        <w:rPr>
          <w:rFonts w:ascii="Calibri" w:cs="Calibri" w:eastAsia="Calibri" w:hAnsi="Calibri"/>
          <w:sz w:val="22"/>
          <w:szCs w:val="22"/>
        </w:rPr>
        <w:t xml:space="preserve">Genereren van de toekennings- of afwijzingsbrief in begrijpelijke taal.</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Lees dossierstuk 3-A en 3-B (20 min)</w:t>
      </w:r>
    </w:p>
    <w:p>
      <w:pPr>
        <w:spacing w:after="140" w:line="300"/>
      </w:pPr>
      <w:r>
        <w:rPr>
          <w:rFonts w:ascii="Calibri" w:cs="Calibri" w:eastAsia="Calibri" w:hAnsi="Calibri"/>
          <w:b w:val="false"/>
          <w:bCs w:val="false"/>
          <w:i w:val="false"/>
          <w:iCs w:val="false"/>
          <w:sz w:val="22"/>
          <w:szCs w:val="22"/>
        </w:rPr>
        <w:t xml:space="preserve">Beantwoord:</w:t>
      </w:r>
    </w:p>
    <w:p>
      <w:pPr>
        <w:spacing w:after="140" w:line="300"/>
      </w:pPr>
      <w:r>
        <w:rPr>
          <w:rFonts w:ascii="Calibri" w:cs="Calibri" w:eastAsia="Calibri" w:hAnsi="Calibri"/>
          <w:b w:val="false"/>
          <w:bCs w:val="false"/>
          <w:i w:val="false"/>
          <w:iCs w:val="false"/>
          <w:sz w:val="22"/>
          <w:szCs w:val="22"/>
        </w:rPr>
        <w:t xml:space="preserve">a. Rutger noemt punt 1 en punt 5 in één adem als voorbeeld van hoe verschillend de zes punten eigenlijk zijn. Leg uit waarom precies dít contrast de kern van dit deel raakt.</w:t>
      </w:r>
    </w:p>
    <w:p>
      <w:pPr>
        <w:spacing w:after="140" w:line="300"/>
      </w:pPr>
      <w:r>
        <w:rPr>
          <w:rFonts w:ascii="Calibri" w:cs="Calibri" w:eastAsia="Calibri" w:hAnsi="Calibri"/>
          <w:b w:val="false"/>
          <w:bCs w:val="false"/>
          <w:i w:val="false"/>
          <w:iCs w:val="false"/>
          <w:sz w:val="22"/>
          <w:szCs w:val="22"/>
        </w:rPr>
        <w:t xml:space="preserve">b. Willemijn stelt dat punt 6 (de brief) bij punt 1 hoort en niet los behandeld moet worden. Is dat juist volgens de domeinindeling? Onderbouw met het criterium "waarom bestaat dit onderdeel voor Meridiaan".</w:t>
      </w:r>
    </w:p>
    <w:p>
      <w:pPr>
        <w:spacing w:after="140" w:line="300"/>
      </w:pPr>
      <w:r>
        <w:rPr>
          <w:rFonts w:ascii="Calibri" w:cs="Calibri" w:eastAsia="Calibri" w:hAnsi="Calibri"/>
          <w:b w:val="false"/>
          <w:bCs w:val="false"/>
          <w:i w:val="false"/>
          <w:iCs w:val="false"/>
          <w:sz w:val="22"/>
          <w:szCs w:val="22"/>
        </w:rPr>
        <w:t xml:space="preserve">c. Saïda en Corné zijn het in dossierstuk 3-B niet meteen eens over de samenloopberekening met het UWV. Waar zit precies het verschil van inzicht, en is dat verschil op te lossen met de vraag "wie schrijft de code" of met een andere vraag?</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Voer de domeinindeling uit (25 min)</w:t>
      </w:r>
    </w:p>
    <w:p>
      <w:pPr>
        <w:spacing w:after="140" w:line="300"/>
      </w:pPr>
      <w:r>
        <w:rPr>
          <w:rFonts w:ascii="Calibri" w:cs="Calibri" w:eastAsia="Calibri" w:hAnsi="Calibri"/>
          <w:b w:val="false"/>
          <w:bCs w:val="false"/>
          <w:i w:val="false"/>
          <w:iCs w:val="false"/>
          <w:sz w:val="22"/>
          <w:szCs w:val="22"/>
        </w:rPr>
        <w:t xml:space="preserve">Kies drie onderdelen uit dossierstuk 3-A (of eigen onderdelen uit het casusdossier) die volgens jou elk een andere classificatie verdienen: één core, één supporting, één generic. Vul voor alle drie de volledige domeinindeling in: het onderdeel, waarom het voor Meridiaan bestaat, of het uniek is of elders al is opgelost, of het specifiek genoeg is om zelf te bouwen zonder onderscheidend te zijn, de voorlopige classificatie, en het afsluitende veld "dat het verschil maakt".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De verkeerde aandacht (15 min)</w:t>
      </w:r>
    </w:p>
    <w:p>
      <w:pPr>
        <w:spacing w:after="140" w:line="300"/>
      </w:pPr>
      <w:r>
        <w:rPr>
          <w:rFonts w:ascii="Calibri" w:cs="Calibri" w:eastAsia="Calibri" w:hAnsi="Calibri"/>
          <w:b w:val="false"/>
          <w:bCs w:val="false"/>
          <w:i w:val="false"/>
          <w:iCs w:val="false"/>
          <w:sz w:val="22"/>
          <w:szCs w:val="22"/>
        </w:rPr>
        <w:t xml:space="preserve">Kies één onderdeel uit opdracht 3. Beschrijf in een paar zinnen wat er concreet misgaat als het team de aandacht omdraait: een generic onderdeel met de volle DDD-inspanning bouwen, of een core onderdeel afraffelen zoals een generic onderdeel. Benoem bij beide wie het probleem als eerste merkt.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Het gesprek over de samenloopberekening (30 min, tweetallen)</w:t>
      </w:r>
    </w:p>
    <w:p>
      <w:pPr>
        <w:spacing w:after="140" w:line="300"/>
      </w:pPr>
      <w:r>
        <w:rPr>
          <w:rFonts w:ascii="Calibri" w:cs="Calibri" w:eastAsia="Calibri" w:hAnsi="Calibri"/>
          <w:b w:val="false"/>
          <w:bCs w:val="false"/>
          <w:i w:val="false"/>
          <w:iCs w:val="false"/>
          <w:sz w:val="22"/>
          <w:szCs w:val="22"/>
        </w:rPr>
        <w:t xml:space="preserve">Eén van jullie is Saïda, die vindt dat de samenloopberekening met het UWV niet de volle DDD-investering verdient omdat Meridiaan de Anw niet zelf uitvoert. De ander is Willemijn, die vindt dat de kennis over die samenloop wél dicht tegen het core domain aan ligt. Voer het gesprek uit dossierstuk 3-B verder: kom samen tot een classificatie (core, supporting, of "supporting met een aantekening", zoals het team in de reader ook doet) en onderbouw die met minstens twee van de vier velden uit de domeinindeling.</w:t>
      </w:r>
    </w:p>
    <w:p>
      <w:pPr>
        <w:spacing w:after="140" w:line="300"/>
      </w:pPr>
      <w:r>
        <w:rPr>
          <w:rFonts w:ascii="Calibri" w:cs="Calibri" w:eastAsia="Calibri" w:hAnsi="Calibri"/>
          <w:b w:val="false"/>
          <w:bCs w:val="false"/>
          <w:i w:val="false"/>
          <w:iCs w:val="false"/>
          <w:sz w:val="22"/>
          <w:szCs w:val="22"/>
        </w:rPr>
        <w:t xml:space="preserve">Wissel daarna van rol met een nieuw onderwerp: het genereren van de toekennings- of afwijzingsbrief. Eén van jullie verdedigt dat dit generic is ("een brief is een brief, dat kopen we in als sjabloonmodule"), de ander verdedigt Willemijns positie uit dossierstuk 3-A dat dit bij het core domain hoort.</w:t>
      </w:r>
    </w:p>
    <w:p>
      <w:pPr>
        <w:spacing w:after="140" w:line="300"/>
      </w:pPr>
      <w:r>
        <w:rPr>
          <w:rFonts w:ascii="Calibri" w:cs="Calibri" w:eastAsia="Calibri" w:hAnsi="Calibri"/>
          <w:b w:val="false"/>
          <w:bCs w:val="false"/>
          <w:i w:val="false"/>
          <w:iCs w:val="false"/>
          <w:sz w:val="22"/>
          <w:szCs w:val="22"/>
        </w:rPr>
        <w:t xml:space="preserve">Bespreek na afloop: bij welk van de twee gesprekken lag de uitkomst het dichtst bij een eenduidig "core" of "generic", en bij welk gesprek bleef het genuanceerder?</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6 — De les van WGP 2.0, deel drie (20 min, plenair)</w:t>
      </w:r>
    </w:p>
    <w:p>
      <w:pPr>
        <w:spacing w:after="140" w:line="300"/>
      </w:pPr>
      <w:r>
        <w:rPr>
          <w:rFonts w:ascii="Calibri" w:cs="Calibri" w:eastAsia="Calibri" w:hAnsi="Calibri"/>
          <w:b w:val="false"/>
          <w:bCs w:val="false"/>
          <w:i w:val="false"/>
          <w:iCs w:val="false"/>
          <w:sz w:val="22"/>
          <w:szCs w:val="22"/>
        </w:rPr>
        <w:t xml:space="preserve">Formuleer gezamenlijk in maximaal vijf zinnen het antwoord op de vraag: </w:t>
      </w:r>
      <w:r>
        <w:rPr>
          <w:rFonts w:ascii="Calibri" w:cs="Calibri" w:eastAsia="Calibri" w:hAnsi="Calibri"/>
          <w:b w:val="false"/>
          <w:bCs w:val="false"/>
          <w:i/>
          <w:iCs/>
          <w:sz w:val="22"/>
          <w:szCs w:val="22"/>
        </w:rPr>
        <w:t xml:space="preserve">het functioneel ontwerp van WGP 2.0 was 340 pagina's, met blijkbaar overal dezelfde diepgang. Als het WGP 2.0-team eerst een domeinindeling had gemaakt, wat had dat waarschijnlijk veranderd aan waar de 340 pagina's naartoe waren gegaan?</w:t>
      </w:r>
      <w:r>
        <w:rPr>
          <w:rFonts w:ascii="Calibri" w:cs="Calibri" w:eastAsia="Calibri" w:hAnsi="Calibri"/>
          <w:b w:val="false"/>
          <w:bCs w:val="false"/>
          <w:i w:val="false"/>
          <w:iCs w:val="false"/>
          <w:sz w:val="22"/>
          <w:szCs w:val="22"/>
        </w:rPr>
        <w:t xml:space="preserve"> Bewaar dit antwoord; je hebt het nodig in deel 10.</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1</w:t>
      </w:r>
    </w:p>
    <w:p>
      <w:pPr>
        <w:pStyle w:val="ListParagraph"/>
        <w:numPr>
          <w:ilvl w:val="0"/>
          <w:numId w:val="1"/>
        </w:numPr>
        <w:spacing w:after="80"/>
      </w:pPr>
      <w:r>
        <w:rPr>
          <w:rFonts w:ascii="Calibri" w:cs="Calibri" w:eastAsia="Calibri" w:hAnsi="Calibri"/>
          <w:sz w:val="22"/>
          <w:szCs w:val="22"/>
        </w:rPr>
        <w:t xml:space="preserve">**Core.** Direct verbonden met waarom Meridiaan het Nabestaandenloket herstart: uniek voor de manier waarop dit fonds recht vaststelt, met complexe samenloopregels die geen enkele kant-en-klare oplossing dekt.</w:t>
      </w:r>
    </w:p>
    <w:p>
      <w:pPr>
        <w:pStyle w:val="ListParagraph"/>
        <w:numPr>
          <w:ilvl w:val="0"/>
          <w:numId w:val="1"/>
        </w:numPr>
        <w:spacing w:after="80"/>
      </w:pPr>
      <w:r>
        <w:rPr>
          <w:rFonts w:ascii="Calibri" w:cs="Calibri" w:eastAsia="Calibri" w:hAnsi="Calibri"/>
          <w:sz w:val="22"/>
          <w:szCs w:val="22"/>
        </w:rPr>
        <w:t xml:space="preserve">**Supporting.** Nodig en specifiek genoeg voor Meridiaans eigen proces (welke velden, welke koppeling met de BRP), maar geen onderdeel waar het fonds zich mee onderscheidt.</w:t>
      </w:r>
    </w:p>
    <w:p>
      <w:pPr>
        <w:pStyle w:val="ListParagraph"/>
        <w:numPr>
          <w:ilvl w:val="0"/>
          <w:numId w:val="1"/>
        </w:numPr>
        <w:spacing w:after="80"/>
      </w:pPr>
      <w:r>
        <w:rPr>
          <w:rFonts w:ascii="Calibri" w:cs="Calibri" w:eastAsia="Calibri" w:hAnsi="Calibri"/>
          <w:sz w:val="22"/>
          <w:szCs w:val="22"/>
        </w:rPr>
        <w:t xml:space="preserve">**Generic.** Documenten opslaan en koppelen aan een record is een probleem dat in vrijwel elke organisatie hetzelfde is en waarvoor beproefde, inkoopbare oplossingen bestaan.</w:t>
      </w:r>
    </w:p>
    <w:p>
      <w:pPr>
        <w:pStyle w:val="ListParagraph"/>
        <w:numPr>
          <w:ilvl w:val="0"/>
          <w:numId w:val="1"/>
        </w:numPr>
        <w:spacing w:after="80"/>
      </w:pPr>
      <w:r>
        <w:rPr>
          <w:rFonts w:ascii="Calibri" w:cs="Calibri" w:eastAsia="Calibri" w:hAnsi="Calibri"/>
          <w:sz w:val="22"/>
          <w:szCs w:val="22"/>
        </w:rPr>
        <w:t xml:space="preserve">**Supporting**, met een aantekening (zie opdracht 2c en de reader): de kennis over hoe de samenloop precies werkt ligt dicht tegen het core domain aan, ook al voert Meridiaan de UWV-regeling zelf niet uit.</w:t>
      </w:r>
    </w:p>
    <w:p>
      <w:pPr>
        <w:pStyle w:val="ListParagraph"/>
        <w:numPr>
          <w:ilvl w:val="0"/>
          <w:numId w:val="1"/>
        </w:numPr>
        <w:spacing w:after="80"/>
      </w:pPr>
      <w:r>
        <w:rPr>
          <w:rFonts w:ascii="Calibri" w:cs="Calibri" w:eastAsia="Calibri" w:hAnsi="Calibri"/>
          <w:sz w:val="22"/>
          <w:szCs w:val="22"/>
        </w:rPr>
        <w:t xml:space="preserve">**Generic.** Authenticatie is een gestandaardiseerd probleem, overal hetzelfde, met bestaande leveranciers.</w:t>
      </w:r>
    </w:p>
    <w:p>
      <w:pPr>
        <w:pStyle w:val="ListParagraph"/>
        <w:numPr>
          <w:ilvl w:val="0"/>
          <w:numId w:val="1"/>
        </w:numPr>
        <w:spacing w:after="80"/>
      </w:pPr>
      <w:r>
        <w:rPr>
          <w:rFonts w:ascii="Calibri" w:cs="Calibri" w:eastAsia="Calibri" w:hAnsi="Calibri"/>
          <w:sz w:val="22"/>
          <w:szCs w:val="22"/>
        </w:rPr>
        <w:t xml:space="preserve">**Core**, of in ieder geval nauw verbonden met het core domain — zie uitwerking 2b hieronder voor de onderbouwing.</w:t>
      </w:r>
    </w:p>
    <w:p>
      <w:pPr>
        <w:pStyle w:val="Heading2"/>
        <w:spacing w:after="120" w:before="200"/>
      </w:pPr>
      <w:r>
        <w:rPr>
          <w:rFonts w:ascii="Georgia" w:cs="Georgia" w:eastAsia="Georgia" w:hAnsi="Georgia"/>
          <w:b/>
          <w:bCs/>
          <w:color w:val="2C5AA0"/>
          <w:sz w:val="28"/>
          <w:szCs w:val="28"/>
        </w:rPr>
        <w:t xml:space="preserve">Uitwerking 2</w:t>
      </w:r>
    </w:p>
    <w:p>
      <w:pPr>
        <w:spacing w:after="140" w:line="300"/>
      </w:pPr>
      <w:r>
        <w:rPr>
          <w:rFonts w:ascii="Calibri" w:cs="Calibri" w:eastAsia="Calibri" w:hAnsi="Calibri"/>
          <w:b w:val="false"/>
          <w:bCs w:val="false"/>
          <w:i w:val="false"/>
          <w:iCs w:val="false"/>
          <w:sz w:val="22"/>
          <w:szCs w:val="22"/>
        </w:rPr>
        <w:t xml:space="preserve">a. Het contrast tussen punt 1 en punt 5 is precies waarom Daans oorspronkelijke lijst (uit de casus in de reader) een vergissing was: hij behandelde beide als "nog te bouwen dingen" van vergelijkbaar gewicht, terwijl het ene het bestaansrecht van het project raakt en het andere overal hetzelfde probleem is dat al is opgelost. De domeinindeling bestaat precies om dat verschil zichtbaar te maken vóórdat er tijd aan wordt besteed.</w:t>
      </w:r>
    </w:p>
    <w:p>
      <w:pPr>
        <w:spacing w:after="140" w:line="300"/>
      </w:pPr>
      <w:r>
        <w:rPr>
          <w:rFonts w:ascii="Calibri" w:cs="Calibri" w:eastAsia="Calibri" w:hAnsi="Calibri"/>
          <w:b w:val="false"/>
          <w:bCs w:val="false"/>
          <w:i w:val="false"/>
          <w:iCs w:val="false"/>
          <w:sz w:val="22"/>
          <w:szCs w:val="22"/>
        </w:rPr>
        <w:t xml:space="preserve">b. </w:t>
      </w:r>
      <w:r>
        <w:rPr>
          <w:rFonts w:ascii="Calibri" w:cs="Calibri" w:eastAsia="Calibri" w:hAnsi="Calibri"/>
          <w:b/>
          <w:bCs/>
          <w:i w:val="false"/>
          <w:iCs w:val="false"/>
          <w:sz w:val="22"/>
          <w:szCs w:val="22"/>
        </w:rPr>
        <w:t xml:space="preserve">Ja, in essentie juist</w:t>
      </w:r>
      <w:r>
        <w:rPr>
          <w:rFonts w:ascii="Calibri" w:cs="Calibri" w:eastAsia="Calibri" w:hAnsi="Calibri"/>
          <w:b w:val="false"/>
          <w:bCs w:val="false"/>
          <w:i w:val="false"/>
          <w:iCs w:val="false"/>
          <w:sz w:val="22"/>
          <w:szCs w:val="22"/>
        </w:rPr>
        <w:t xml:space="preserve">, al vraagt het om precisering. Het criterium "waarom bestaat dit onderdeel voor Meridiaan" laat voor de brief zien dat de reden van bestaan niet is "correspondentie versturen" (dat zou generic maken) maar "een nabestaande zorgvuldig en begrijpelijk laten weten waarom een besluit is genomen zoals het is genomen" — en die zorgvuldigheid is onlosmakelijk verbonden met de rechtvaststelling zelf. De techniek van het versturen van een brief (een sjabloon, een mailserver) kan best generic zijn; de inhoud en toon van wát er in die brief staat, hoort bij het core domain.</w:t>
      </w:r>
    </w:p>
    <w:p>
      <w:pPr>
        <w:spacing w:after="140" w:line="300"/>
      </w:pPr>
      <w:r>
        <w:rPr>
          <w:rFonts w:ascii="Calibri" w:cs="Calibri" w:eastAsia="Calibri" w:hAnsi="Calibri"/>
          <w:b w:val="false"/>
          <w:bCs w:val="false"/>
          <w:i w:val="false"/>
          <w:iCs w:val="false"/>
          <w:sz w:val="22"/>
          <w:szCs w:val="22"/>
        </w:rPr>
        <w:t xml:space="preserve">c. Het verschil van inzicht zit niet in "wie schrijft de code", zoals Corné expliciet zegt, maar in de vraag "waar zit de kennis, en wie moet die kunnen uitleggen". Saïda redeneert vanuit uitvoeringslast (hoe zwaar is het om dit zelf te bouwen), Corné redeneert vanuit verantwoordelijkheid (wie moet een bedrag kunnen verklaren). Beide zijn geldige overwegingen, en het team in de reader lost dit precies zo op: de kennis blijft bij het core-nabije domein, de uitvoering ervan hoeft niet met dezelfde intensiteit gebouwd te worden.</w:t>
      </w:r>
    </w:p>
    <w:p>
      <w:pPr>
        <w:pStyle w:val="Heading2"/>
        <w:spacing w:after="120" w:before="200"/>
      </w:pPr>
      <w:r>
        <w:rPr>
          <w:rFonts w:ascii="Georgia" w:cs="Georgia" w:eastAsia="Georgia" w:hAnsi="Georgia"/>
          <w:b/>
          <w:bCs/>
          <w:color w:val="2C5AA0"/>
          <w:sz w:val="28"/>
          <w:szCs w:val="28"/>
        </w:rPr>
        <w:t xml:space="preserve">Uitwerking 3</w:t>
      </w:r>
    </w:p>
    <w:p>
      <w:pPr>
        <w:spacing w:after="140" w:line="300"/>
      </w:pPr>
      <w:r>
        <w:rPr>
          <w:rFonts w:ascii="Calibri" w:cs="Calibri" w:eastAsia="Calibri" w:hAnsi="Calibri"/>
          <w:b w:val="false"/>
          <w:bCs w:val="false"/>
          <w:i w:val="false"/>
          <w:iCs w:val="false"/>
          <w:sz w:val="22"/>
          <w:szCs w:val="22"/>
        </w:rPr>
        <w:t xml:space="preserve">Een goede uitwerking voor drie onderdelen: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**Onderdeel: vaststellen recht op partnerpensioen bij samenloop.**
Waarom bestaat dit voor Meridiaan: een nabestaande krijgt waar hij of zij recht op heeft, zonder onterechte toekenning of afwijzing.
Uniek of elders al opgelost: uniek — het reglement, de samenloopregels en de uitzonderingen zijn specifiek voor Meridiaan en zelfs binnen de pensioensector niet uitwisselbaar.
Specifiek genoeg om zelf te bouwen: ja, en meer dan dat — dit is waar Meridiaan zich mee onderscheidt.
Voorlopige classificatie: **core.**
**Dat het verschil maakt:** als we hier te weinig aandacht aan geven, ontstaat opnieuw het WGP 2.0-patroon — een technisch correct systeem dat niet aansluit op de werkelijke complexiteit, en Willemijn is degene die dat als eerste merkt zodra de eerste dubbele claim langskomt.</w:t>
            </w:r>
          </w:p>
        </w:tc>
      </w:tr>
    </w:tbl>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**Onderdeel: bijhouden correspondentieadres.**
Waarom bestaat dit voor Meridiaan: correspondentie moet de juiste persoon bereiken.
Uniek of elders al opgelost: het basisprobleem (adres bijhouden) is generiek, maar de koppeling aan Meridiaans eigen BRP-raadpleging en foutafhandeling is eigen aan dit proces.
Specifiek genoeg om zelf te bouwen: ja, in beperkte mate — geen onderscheidend vermogen, wel eigen aan het proces.
Voorlopige classificatie: **supporting.**
**Dat het verschil maakt:** als we hier tóch de volle DDD-inspanning op loslaten, gaat die tijd niet naar de rechtvaststelling, en Tijmen merkt dat als eerste in de planning.</w:t>
            </w:r>
          </w:p>
        </w:tc>
      </w:tr>
    </w:tbl>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**Onderdeel: authenticatie medewerkers.**
Waarom bestaat dit voor Meridiaan: alleen bevoegde medewerkers krijgen toegang tot gevoelige dossiers.
Uniek of elders al opgelost: elders al opgelost, overal hetzelfde probleem.
Specifiek genoeg om zelf te bouwen: nee, geen enkele reden om dit zelf te ontwerpen.
Voorlopige classificatie: **generic.**
**Dat het verschil maakt:** als we dit zelf bouwen in plaats van in te kopen, verliezen we weken die niet aan de samenloopregels worden besteed — en dat risico draagt uiteindelijk Willemijn, niet het ontwikkelteam.</w:t>
            </w:r>
          </w:p>
        </w:tc>
      </w:tr>
    </w:tbl>
    <w:p>
      <w:pPr>
        <w:pStyle w:val="Heading2"/>
        <w:spacing w:after="120" w:before="200"/>
      </w:pPr>
      <w:r>
        <w:rPr>
          <w:rFonts w:ascii="Georgia" w:cs="Georgia" w:eastAsia="Georgia" w:hAnsi="Georgia"/>
          <w:b/>
          <w:bCs/>
          <w:color w:val="2C5AA0"/>
          <w:sz w:val="28"/>
          <w:szCs w:val="28"/>
        </w:rPr>
        <w:t xml:space="preserve">Uitwerking 4</w:t>
      </w:r>
    </w:p>
    <w:p>
      <w:pPr>
        <w:spacing w:after="140" w:line="300"/>
      </w:pPr>
      <w:r>
        <w:rPr>
          <w:rFonts w:ascii="Calibri" w:cs="Calibri" w:eastAsia="Calibri" w:hAnsi="Calibri"/>
          <w:b w:val="false"/>
          <w:bCs w:val="false"/>
          <w:i w:val="false"/>
          <w:iCs w:val="false"/>
          <w:sz w:val="22"/>
          <w:szCs w:val="22"/>
        </w:rPr>
        <w:t xml:space="preserve">Voor het te zwaar behandelde generic onderdeel (bijvoorbeeld authenticatie): niemand merkt direct een fout, maar het team verliest tijd die niet aan de rechtvaststelling wordt besteed. Tijmen merkt dit als eerste, in de planning — precies zoals Rutger het in de reader verwoordt.</w:t>
      </w:r>
    </w:p>
    <w:p>
      <w:pPr>
        <w:spacing w:after="140" w:line="300"/>
      </w:pPr>
      <w:r>
        <w:rPr>
          <w:rFonts w:ascii="Calibri" w:cs="Calibri" w:eastAsia="Calibri" w:hAnsi="Calibri"/>
          <w:b w:val="false"/>
          <w:bCs w:val="false"/>
          <w:i w:val="false"/>
          <w:iCs w:val="false"/>
          <w:sz w:val="22"/>
          <w:szCs w:val="22"/>
        </w:rPr>
        <w:t xml:space="preserve">Voor het te licht behandelde core onderdeel (de rechtvaststelling): het probleem komt pas boven water bij de eerste complexe samenloopsituatie, wanneer blijkt dat het model geen ruimte biedt om twee gelijktijdige claims goed te onderscheiden. Willemijn merkt dit als eerste, omdat zij het dossier weer handmatig moet repareren — hetzelfde patroon als bij een te platte complexiteitstoets uit deel 1.</w:t>
      </w:r>
    </w:p>
    <w:p>
      <w:pPr>
        <w:pStyle w:val="Heading2"/>
        <w:spacing w:after="120" w:before="200"/>
      </w:pPr>
      <w:r>
        <w:rPr>
          <w:rFonts w:ascii="Georgia" w:cs="Georgia" w:eastAsia="Georgia" w:hAnsi="Georgia"/>
          <w:b/>
          <w:bCs/>
          <w:color w:val="2C5AA0"/>
          <w:sz w:val="28"/>
          <w:szCs w:val="28"/>
        </w:rPr>
        <w:t xml:space="preserve">Uitwerking 5</w:t>
      </w:r>
    </w:p>
    <w:p>
      <w:pPr>
        <w:spacing w:after="140" w:line="300"/>
      </w:pPr>
      <w:r>
        <w:rPr>
          <w:rFonts w:ascii="Calibri" w:cs="Calibri" w:eastAsia="Calibri" w:hAnsi="Calibri"/>
          <w:b w:val="false"/>
          <w:bCs w:val="false"/>
          <w:i w:val="false"/>
          <w:iCs w:val="false"/>
          <w:sz w:val="22"/>
          <w:szCs w:val="22"/>
        </w:rPr>
        <w:t xml:space="preserve">Aandachtspunten voor de nabespreking:</w:t>
      </w:r>
    </w:p>
    <w:p>
      <w:pPr>
        <w:pStyle w:val="ListParagraph"/>
        <w:numPr>
          <w:ilvl w:val="0"/>
          <w:numId w:val="1"/>
        </w:numPr>
        <w:spacing w:after="80"/>
      </w:pPr>
      <w:r>
        <w:rPr>
          <w:rFonts w:ascii="Calibri" w:cs="Calibri" w:eastAsia="Calibri" w:hAnsi="Calibri"/>
          <w:sz w:val="22"/>
          <w:szCs w:val="22"/>
        </w:rPr>
        <w:t xml:space="preserve">Bij de samenloopberekening met het UWV werkt het goed als beide spelers expliciet het criterium "waar zit de kennis, wie moet die kunnen uitleggen" gebruiken in plaats van "wie bouwt het" — dat voorkomt dat het gesprek blijft steken in een schijntegenstelling.</w:t>
      </w:r>
    </w:p>
    <w:p>
      <w:pPr>
        <w:pStyle w:val="ListParagraph"/>
        <w:numPr>
          <w:ilvl w:val="0"/>
          <w:numId w:val="1"/>
        </w:numPr>
        <w:spacing w:after="80"/>
      </w:pPr>
      <w:r>
        <w:rPr>
          <w:rFonts w:ascii="Calibri" w:cs="Calibri" w:eastAsia="Calibri" w:hAnsi="Calibri"/>
          <w:sz w:val="22"/>
          <w:szCs w:val="22"/>
        </w:rPr>
        <w:t xml:space="preserve">Bij de toekenningsbrief is de valkuil dat "generic" wordt verdedigd met een technisch argument (sjablonen, een mailserver) terwijl het echte punt over de inhoud gaat. Een goed gesprek onderscheidt expliciet het verzendmechanisme (generic) van de inhoud en toon (core-nabij).</w:t>
      </w:r>
    </w:p>
    <w:p>
      <w:pPr>
        <w:pStyle w:val="ListParagraph"/>
        <w:numPr>
          <w:ilvl w:val="0"/>
          <w:numId w:val="1"/>
        </w:numPr>
        <w:spacing w:after="80"/>
      </w:pPr>
      <w:r>
        <w:rPr>
          <w:rFonts w:ascii="Calibri" w:cs="Calibri" w:eastAsia="Calibri" w:hAnsi="Calibri"/>
          <w:sz w:val="22"/>
          <w:szCs w:val="22"/>
        </w:rPr>
        <w:t xml:space="preserve">Meestal levert het eerste gesprek (samenloop) een genuanceerder antwoord op dan het tweede — het tweede kent een duidelijker "aha" zodra iemand het onderscheid tussen mechanisme en inhoud benoemt.</w:t>
      </w:r>
    </w:p>
    <w:p>
      <w:pPr>
        <w:pStyle w:val="Heading2"/>
        <w:spacing w:after="120" w:before="200"/>
      </w:pPr>
      <w:r>
        <w:rPr>
          <w:rFonts w:ascii="Georgia" w:cs="Georgia" w:eastAsia="Georgia" w:hAnsi="Georgia"/>
          <w:b/>
          <w:bCs/>
          <w:color w:val="2C5AA0"/>
          <w:sz w:val="28"/>
          <w:szCs w:val="28"/>
        </w:rPr>
        <w:t xml:space="preserve">Uitwerking 6</w:t>
      </w:r>
    </w:p>
    <w:p>
      <w:pPr>
        <w:spacing w:after="140" w:line="300"/>
      </w:pPr>
      <w:r>
        <w:rPr>
          <w:rFonts w:ascii="Calibri" w:cs="Calibri" w:eastAsia="Calibri" w:hAnsi="Calibri"/>
          <w:b w:val="false"/>
          <w:bCs w:val="false"/>
          <w:i w:val="false"/>
          <w:iCs w:val="false"/>
          <w:sz w:val="22"/>
          <w:szCs w:val="22"/>
        </w:rPr>
        <w:t xml:space="preserve">Een goed antwoord bevat deze keten: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Als het WGP 2.0-team eerst een domeinindeling had gemaakt, was waarschijnlijk zichtbaar geworden dat een substantieel deel van het werkgeversportaal — bijvoorbeeld authenticatie, generieke formulierverwerking, standaardrapportages — generic was en geen 340 pagina's specificatie verdiende, terwijl het onderdeel waar de complexiteit werkelijk zat (de uiteenlopende soorten mutaties, elk met eigen regels) juist té weinig aandacht kreeg in verhouding tot zijn belang. De pagina's waren dan niet gelijk verdeeld over het hele portaal, maar geconcentreerd op het core domain, met kortere, functionelere beschrijvingen voor het generic deel. Dat is precies het patroon dat dit deel wil doorbreken: niet evenveel aandacht voor alles, maar aandacht in verhouding tot waar het gewicht zit.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2026-08-16T19:17:59.008Z</dcterms:created>
  <dcterms:modified xsi:type="dcterms:W3CDTF">2026-08-16T19:17:59.008Z</dcterms:modified>
</cp:coreProperties>
</file>

<file path=docProps/custom.xml><?xml version="1.0" encoding="utf-8"?>
<Properties xmlns="http://schemas.openxmlformats.org/officeDocument/2006/custom-properties" xmlns:vt="http://schemas.openxmlformats.org/officeDocument/2006/docPropsVTypes"/>
</file>