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4 — Het model versus de implementatie: kaart en terrein</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4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4 is een scharnierpunt. Deel 1 tot en met 3 gingen over vaststellen, luisteren en indelen; dit is het eerste deel waarin het team daadwerkelijk gaat modelleren — en daarmee ook het eerste deel waarin het risico ontstaat dat het team het net verworven inzicht (de complexiteitstoets, de taalkaart, de domeinindeling) in de eerste tekening alweer kwijtraakt. Deel 4 behandelt geen nieuwe bouwsteen; het behandelt een discipline die bij élke bouwsteen vanaf deel 5 terugkomt: houd het model en de implementatie uit elkaar totdat je bewust besluit ze te verbinden.</w:t>
      </w:r>
    </w:p>
    <w:p>
      <w:pPr>
        <w:pStyle w:val="ListParagraph"/>
        <w:numPr>
          <w:ilvl w:val="0"/>
          <w:numId w:val="1"/>
        </w:numPr>
        <w:spacing w:after="80"/>
      </w:pPr>
      <w:r>
        <w:rPr>
          <w:rFonts w:ascii="Calibri" w:cs="Calibri" w:eastAsia="Calibri" w:hAnsi="Calibri"/>
          <w:sz w:val="22"/>
          <w:szCs w:val="22"/>
        </w:rPr>
        <w:t xml:space="preserve">**Module-onderdeel:** voorbereidend op het curriculumonderdeel "de relatie tussen model en code (conceptuele klassen versus technisch gemotiveerde bouwstenen)" van de iSAQB Advanced-module DDD.</w:t>
      </w:r>
    </w:p>
    <w:p>
      <w:pPr>
        <w:pStyle w:val="ListParagraph"/>
        <w:numPr>
          <w:ilvl w:val="0"/>
          <w:numId w:val="1"/>
        </w:numPr>
        <w:spacing w:after="80"/>
      </w:pPr>
      <w:r>
        <w:rPr>
          <w:rFonts w:ascii="Calibri" w:cs="Calibri" w:eastAsia="Calibri" w:hAnsi="Calibri"/>
          <w:sz w:val="22"/>
          <w:szCs w:val="22"/>
        </w:rPr>
        <w:t xml:space="preserve">**Werkvorm:** de modeltoets.</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3 afgerond, complexiteitstoets, taalkaart en domeinindeling uit die delen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1-3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model versus implementatie is; de casus van Daans eerste diagram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kaart of terrein,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dossierstuk 4-B en 4-C ontleden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modeltoets: de vijf vragen en het zesde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eigen modeltoets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andere kant van de valkuil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WGP 2.0, deel drie,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5</w:t>
            </w:r>
          </w:p>
        </w:tc>
      </w:tr>
    </w:tbl>
    <w:p>
      <w:pPr>
        <w:spacing w:after="140" w:line="300"/>
      </w:pPr>
      <w:r>
        <w:rPr>
          <w:rFonts w:ascii="Calibri" w:cs="Calibri" w:eastAsia="Calibri" w:hAnsi="Calibri"/>
          <w:b w:val="false"/>
          <w:bCs w:val="false"/>
          <w:i w:val="false"/>
          <w:iCs w:val="false"/>
          <w:sz w:val="22"/>
          <w:szCs w:val="22"/>
        </w:rPr>
        <w:t xml:space="preserve">Loop je uit, dan schrap je opdracht 4 en verwerk je de kernvraag ("wat gaat er mis als een model te abstract is") mondeling in de nabespreking van opdracht 3. Schrap nooit opdracht 5: het is het enige onderdeel waarin deelnemers zelf moeten oefenen om, onder lichte druk, terug te vallen op gewone taal in plaats van op techniek — precies de vaardigheid die Daan in de casus mist.</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kaart en terrein.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*"Een team levert een prachtig domeinmodel op — mooie dozen, duidelijke namen, door de domeinexpert goedgekeurd. Zes maanden later blijkt de code er niets meer mee te maken te hebben. Wat is hier waarschijnlijk misgegaan, en wanneer is dat begonnen: bij de tekening, of pas bij de bouw?"*</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Veelvoorkomende antwoorden: "de bouwers hebben het model genegeerd", "het model was nooit haalbaar", "niemand heeft het bijgehouden". Bewaar de flap: aan het eind van dit deel (§4, laatste blok) kom je erop terug met de vraag of de groep haar eigen antwoord nog steeds onderschrijft, nu met de modeltoets in de hand.</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model versus implementatie is (0:15-0:45).</w:t>
      </w:r>
      <w:r>
        <w:rPr>
          <w:rFonts w:ascii="Calibri" w:cs="Calibri" w:eastAsia="Calibri" w:hAnsi="Calibri"/>
          <w:b w:val="false"/>
          <w:bCs w:val="false"/>
          <w:i w:val="false"/>
          <w:iCs w:val="false"/>
          <w:sz w:val="22"/>
          <w:szCs w:val="22"/>
        </w:rPr>
        <w:t xml:space="preserve"> De kaart-en-terrein-metafoor moet blijven hangen, dus besteed er expliciet tijd aan vóórdat je naar Daans diagram gaat. Vraag deelnemers eerst zelf een voorbeeld van een kaart te noemen die ze recent gebruikt hebben (een OV-plattegrond, een wandelroute) en laat ze benoemen wat die kaart bewust weglaat. Dat maakt de vertaalslag naar een domeinmodel concreter dan wanneer je meteen met het Nabestaandenloket begint.</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zelf benoemen waaraan je ziet dat Daans diagram "stiekem al implementatie" is, voordat je het voorleest uit de reader. De sterkste aanwijzing die deelnemers vaak zelf vinden: de namen zijn codes en snake_case-velden, geen woorden die in een gesprek zouden vallen. Bevestig dat, maar voeg toe: dat is een symptoom, niet de kern. De kern is dat het model de regel niet kan uitleggen (zie de derde valkuil-aanwijzing in de reader, §4.3).</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1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en item 6 (de aftrekregel) leveren de meeste discussie op omdat item 1 een technisch element blijkt te zijn dat wél een echt domeinbegrip verbergt. Gebruik dat om het onderscheid scherp te maken: niet elk technisch element is fout, het probleem ontstaat pas als het technische element het domeinbegrip erachter vervangt in plaats van ernaar te verwijzen.</w:t>
      </w:r>
    </w:p>
    <w:p>
      <w:pPr>
        <w:spacing w:after="140" w:line="300"/>
      </w:pPr>
      <w:r>
        <w:rPr>
          <w:rFonts w:ascii="Calibri" w:cs="Calibri" w:eastAsia="Calibri" w:hAnsi="Calibri"/>
          <w:b/>
          <w:bCs/>
          <w:i w:val="false"/>
          <w:iCs w:val="false"/>
          <w:sz w:val="22"/>
          <w:szCs w:val="22"/>
        </w:rPr>
        <w:t xml:space="preserve">De modeltoets (1:35-1:55).</w:t>
      </w:r>
      <w:r>
        <w:rPr>
          <w:rFonts w:ascii="Calibri" w:cs="Calibri" w:eastAsia="Calibri" w:hAnsi="Calibri"/>
          <w:b w:val="false"/>
          <w:bCs w:val="false"/>
          <w:i w:val="false"/>
          <w:iCs w:val="false"/>
          <w:sz w:val="22"/>
          <w:szCs w:val="22"/>
        </w:rPr>
        <w:t xml:space="preserve"> Introduceer de vijf vragen in volgorde en benoem uitdrukkelijk dat het zesde, afsluitende veld — "dat het verschil maakt" — hetzelfde terugkerende patroon volgt als de complexiteitstoets (deel 1) en de taalkaart (deel 2). Zeg dat hardop: elk instrument in deze cursusfamilie eindigt met een veld dat van constatering naar consequentie dwingt, en dat is met opzet zo.</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Laat deelnemers hun ingevulde modeltoets voorlezen, niet uitdelen. Let specifiek op de vraag "overleeft het model een technische verandering?" — dit is de vraag waarbij deelnemers het snelst in abstracte bespiegeling schieten in plaats van concreet te worden. Stuur bij met: "noem één concreet veld dat wél zou blijven bestaan, en één dat zou verdwijnen."</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Dit is het lastigste onderdeel om te begeleiden. Drie aanwijzingen:</w:t>
      </w:r>
    </w:p>
    <w:p>
      <w:pPr>
        <w:pStyle w:val="ListParagraph"/>
        <w:numPr>
          <w:ilvl w:val="0"/>
          <w:numId w:val="1"/>
        </w:numPr>
        <w:spacing w:after="80"/>
      </w:pPr>
      <w:r>
        <w:rPr>
          <w:rFonts w:ascii="Calibri" w:cs="Calibri" w:eastAsia="Calibri" w:hAnsi="Calibri"/>
          <w:sz w:val="22"/>
          <w:szCs w:val="22"/>
        </w:rPr>
        <w:t xml:space="preserve">Instrueer de "Willemijn"-spelers om letterlijk te blijven vragen "wat betekent dit, in mijn werk?" bij elk veld, ook als "Daan" een technisch antwoord probeert te geven — herhaling van de vraag is hier het instrument, niet uitleg geven.</w:t>
      </w:r>
    </w:p>
    <w:p>
      <w:pPr>
        <w:pStyle w:val="ListParagraph"/>
        <w:numPr>
          <w:ilvl w:val="0"/>
          <w:numId w:val="1"/>
        </w:numPr>
        <w:spacing w:after="80"/>
      </w:pPr>
      <w:r>
        <w:rPr>
          <w:rFonts w:ascii="Calibri" w:cs="Calibri" w:eastAsia="Calibri" w:hAnsi="Calibri"/>
          <w:sz w:val="22"/>
          <w:szCs w:val="22"/>
        </w:rPr>
        <w:t xml:space="preserve">Grijp niet in als "Daan" terugvalt op techniek ("dat is gewoon de status"). Laat de nabespreking dat blootleggen: vraag na afloop expliciet "op welk moment viel je terug op een technische term, en waarom op dát moment?"</w:t>
      </w:r>
    </w:p>
    <w:p>
      <w:pPr>
        <w:pStyle w:val="ListParagraph"/>
        <w:numPr>
          <w:ilvl w:val="0"/>
          <w:numId w:val="1"/>
        </w:numPr>
        <w:spacing w:after="80"/>
      </w:pPr>
      <w:r>
        <w:rPr>
          <w:rFonts w:ascii="Calibri" w:cs="Calibri" w:eastAsia="Calibri" w:hAnsi="Calibri"/>
          <w:sz w:val="22"/>
          <w:szCs w:val="22"/>
        </w:rPr>
        <w:t xml:space="preserve">Bespreek na met de vraag "bij welk fragment kostte het meer moeite om in gewone taal te blijven?" in plaats van "lukte het?" — dat opent het gesprek over waarom sommige technische velden makkelijker te vertalen zijn dan andere.</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samenhang tussen deel 2 (taal) en deel 4 (kaart en terrein): een taalprobleem dat niet ook technisch wordt bewaakt, keert terug als kaart-en-terrein-probleem zodra de bouw begint. Als de groep de twee delen los van elkaar blijft behandelen, stel dan de vraag: "als het WGP 2.0-team wél een taalkaart had gebruikt, maar géén modeltoets, was het probleem dan opgelost geweest?"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Modeltoets ingevuld met "ja/nee" zonder onderbouwing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Haastwerk, of onduidelijkheid over wat elke vraag precies toetst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naar een concreet veld of begrip uit het eigen fragment bij elk antwoord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technisch element meteen "fout" genoemd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Overcorrectie na de casus van Daan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eraan dat techniek uiteindelijk nodig is — de vraag is niet of het bestaat, maar of het in het domeinmodel hoort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Zesde veld blijft algemeen ("dat wordt lastig aan te passen")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moet hier straks iets aanpassen, en waarom kán die persoon dat niet los van de rest?"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verdedigt het eigen model in plaats van het te toetsen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Persoonlijke identificatie met het gemaakte 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Rutgers uitspraak in de reader: het probleem is niet dát er een technisch model bestaat, maar dat het als domeinmodel werd gepresenteerd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Rollenspel verzandt in technische uitleg door "Daan"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vaardigheid "terugvallen op gewone taal" is nog niet geoefend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 "Willemijn" de vraag letterlijk herhalen zonder variatie, tot het lukt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4 wordt niet becijferd. Wel houd je per deelnemer bij of de modeltoets uit opdracht 3 aan drie eisen voldoet; dat is het vierde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elke vraag is beantwoord met een concreet voorbeeld uit het eigen fragment, niet met een algemeen oordeel; het fragment is expliciet getoetst aan de taalkaart-termen uit deel 2; het zesde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4, inclusief dossierstukken 4-A, 4-B en 4-C</w:t>
      </w:r>
    </w:p>
    <w:p>
      <w:pPr>
        <w:pStyle w:val="ListParagraph"/>
        <w:numPr>
          <w:ilvl w:val="0"/>
          <w:numId w:val="1"/>
        </w:numPr>
        <w:spacing w:after="80"/>
      </w:pPr>
      <w:r>
        <w:rPr>
          <w:rFonts w:ascii="Calibri" w:cs="Calibri" w:eastAsia="Calibri" w:hAnsi="Calibri"/>
          <w:sz w:val="22"/>
          <w:szCs w:val="22"/>
        </w:rPr>
        <w:t xml:space="preserve">Slidedeck deel 4</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modeltoets-invulbladen, minstens twee per deelnemer</w:t>
      </w:r>
    </w:p>
    <w:p>
      <w:pPr>
        <w:pStyle w:val="ListParagraph"/>
        <w:numPr>
          <w:ilvl w:val="0"/>
          <w:numId w:val="1"/>
        </w:numPr>
        <w:spacing w:after="80"/>
      </w:pPr>
      <w:r>
        <w:rPr>
          <w:rFonts w:ascii="Calibri" w:cs="Calibri" w:eastAsia="Calibri" w:hAnsi="Calibri"/>
          <w:sz w:val="22"/>
          <w:szCs w:val="22"/>
        </w:rPr>
        <w:t xml:space="preserve">Eigen taalkaart en domeinindeling van de deelnemer (uit deel 2 en 3), voor de vergelijking in opdracht 3</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"De relatie tussen model en code" staat letterlijk in het officiële curriculum van de iSAQB Advanced-module DDD, als apart genoemd onderwerp naast de tactische bouwstenen zelf. Dit deel is dus geen zijstap maar directe voorbereiding op examenstof.</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hier soms of "kaart en terrein" een letterlijk begrip is uit het officiële curriculum. Dat is het niet — het is een eigen Ductus-metafoor voor het curriculumonderdeel "conceptuele klassen versus technisch gemotiveerde bouwstenen". Zeg dat er gerust bij: de metafoor is bedoeld om te onthouden, niet om letterlijk in het examen terug te citeren.</w:t>
      </w:r>
    </w:p>
    <w:p>
      <w:pPr>
        <w:pStyle w:val="ListParagraph"/>
        <w:numPr>
          <w:ilvl w:val="0"/>
          <w:numId w:val="1"/>
        </w:numPr>
        <w:spacing w:after="80"/>
      </w:pPr>
      <w:r>
        <w:rPr>
          <w:rFonts w:ascii="Calibri" w:cs="Calibri" w:eastAsia="Calibri" w:hAnsi="Calibri"/>
          <w:sz w:val="22"/>
          <w:szCs w:val="22"/>
        </w:rPr>
        <w:t xml:space="preserve">Vanaf deel 5 gaan deelnemers voor het eerst een tactische bouwsteen (entity) daadwerkelijk vormgeven. Benoem uitdrukkelijk dat de modeltoets uit dit deel geen eenmalige oefening was: bij elke bouwsteen die vanaf nu volgt, is de vraag "is dit nog de kaart, of is het al het terrein?" opnieuw relevant.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2026-08-16T19:17:59.152Z</dcterms:created>
  <dcterms:modified xsi:type="dcterms:W3CDTF">2026-08-16T19:17:59.152Z</dcterms:modified>
</cp:coreProperties>
</file>

<file path=docProps/custom.xml><?xml version="1.0" encoding="utf-8"?>
<Properties xmlns="http://schemas.openxmlformats.org/officeDocument/2006/custom-properties" xmlns:vt="http://schemas.openxmlformats.org/officeDocument/2006/docPropsVTypes"/>
</file>