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5 — Entity en value object: identiteit versus waarde</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1 · deel 5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Deel 5 is het eerste deel waarin het team een echte tactische bouwsteen van Domain-Driven Design vormgeeft. Deel 4 heeft de discipline geleverd (houd model en implementatie uit elkaar); dit deel levert het eerste concrete onderscheid dat het team voortaan bij ieder begrip zal moeten maken. De vraag die Tijmen aan het eind van deel 4 liet openstaan — is dit dossier hetzelfde dossier als gisteren? — wordt hier voor het eerst systematisch beantwoord, en de manier waarop dat gebeurt (het objectkeuzeblad) is het instrument dat de rest van niveau 1 blijft terugkomen: elke keer dat een nieuw begrip opduikt, is de eerste vraag "is dit een entity of een value object?"</w:t>
      </w:r>
    </w:p>
    <w:p>
      <w:pPr>
        <w:pStyle w:val="ListParagraph"/>
        <w:numPr>
          <w:ilvl w:val="0"/>
          <w:numId w:val="1"/>
        </w:numPr>
        <w:spacing w:after="80"/>
      </w:pPr>
      <w:r>
        <w:rPr>
          <w:rFonts w:ascii="Calibri" w:cs="Calibri" w:eastAsia="Calibri" w:hAnsi="Calibri"/>
          <w:sz w:val="22"/>
          <w:szCs w:val="22"/>
        </w:rPr>
        <w:t xml:space="preserve">**Module-onderdeel:** rechtstreeks het curriculumonderdeel "entity, value object" van de iSAQB Advanced-module DDD.</w:t>
      </w:r>
    </w:p>
    <w:p>
      <w:pPr>
        <w:pStyle w:val="ListParagraph"/>
        <w:numPr>
          <w:ilvl w:val="0"/>
          <w:numId w:val="1"/>
        </w:numPr>
        <w:spacing w:after="80"/>
      </w:pPr>
      <w:r>
        <w:rPr>
          <w:rFonts w:ascii="Calibri" w:cs="Calibri" w:eastAsia="Calibri" w:hAnsi="Calibri"/>
          <w:sz w:val="22"/>
          <w:szCs w:val="22"/>
        </w:rPr>
        <w:t xml:space="preserve">**Werkvorm:** het objectkeuzeblad.</w:t>
      </w:r>
    </w:p>
    <w:p>
      <w:pPr>
        <w:pStyle w:val="ListParagraph"/>
        <w:numPr>
          <w:ilvl w:val="0"/>
          <w:numId w:val="1"/>
        </w:numPr>
        <w:spacing w:after="80"/>
      </w:pPr>
      <w:r>
        <w:rPr>
          <w:rFonts w:ascii="Calibri" w:cs="Calibri" w:eastAsia="Calibri" w:hAnsi="Calibri"/>
          <w:sz w:val="22"/>
          <w:szCs w:val="22"/>
        </w:rPr>
        <w:t xml:space="preserve">**Duur:** één dagdeel (3,5 uur inclusief pauze).</w:t>
      </w:r>
    </w:p>
    <w:p>
      <w:pPr>
        <w:pStyle w:val="ListParagraph"/>
        <w:numPr>
          <w:ilvl w:val="0"/>
          <w:numId w:val="1"/>
        </w:numPr>
        <w:spacing w:after="80"/>
      </w:pPr>
      <w:r>
        <w:rPr>
          <w:rFonts w:ascii="Calibri" w:cs="Calibri" w:eastAsia="Calibri" w:hAnsi="Calibri"/>
          <w:sz w:val="22"/>
          <w:szCs w:val="22"/>
        </w:rPr>
        <w:t xml:space="preserve">**Voorbereiding deelnemers:** deel 1 t/m 4 afgerond, modeltoets uit deel 4 bij de hand.</w:t>
      </w:r>
    </w:p>
    <w:p>
      <w:pPr>
        <w:pStyle w:val="Heading2"/>
        <w:spacing w:after="120" w:before="200"/>
      </w:pPr>
      <w:r>
        <w:rPr>
          <w:rFonts w:ascii="Georgia" w:cs="Georgia" w:eastAsia="Georgia" w:hAnsi="Georgia"/>
          <w:b/>
          <w:bCs/>
          <w:color w:val="2C5AA0"/>
          <w:sz w:val="28"/>
          <w:szCs w:val="28"/>
        </w:rPr>
        <w:t xml:space="preserve">2. Tijdschema (dagdeel van 3,5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Terugblik deel 4 en de openingsvraag (zie §3)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0:15-0:45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Wat identiteit en waarde zijn; de casus van dossier 5216 en 5217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0:45-1:05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 entity of value object, klassikaal nabespreken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1:05-1:25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2 — dossierstuk 5-A en 5-B ontleden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1:25-1:40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1:40-1:55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objectkeuzeblad: de vier vragen en het vijfde veld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 weerleg dossierstuk 5-C</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4 — eigen objectkeuzeblad uitvoeren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2:35-3:05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rollenspel in tweetallen, inclusief nabespreking</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3:05-3:25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terug naar deel 4, plenair</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3:25-3:35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Vooruitblik deel 6</w:t>
            </w:r>
          </w:p>
        </w:tc>
      </w:tr>
    </w:tbl>
    <w:p>
      <w:pPr>
        <w:spacing w:after="140" w:line="300"/>
      </w:pPr>
      <w:r>
        <w:rPr>
          <w:rFonts w:ascii="Calibri" w:cs="Calibri" w:eastAsia="Calibri" w:hAnsi="Calibri"/>
          <w:b w:val="false"/>
          <w:bCs w:val="false"/>
          <w:i w:val="false"/>
          <w:iCs w:val="false"/>
          <w:sz w:val="22"/>
          <w:szCs w:val="22"/>
        </w:rPr>
        <w:t xml:space="preserve">Loop je uit, dan schrap je opdracht 3 en verwerk je de kern (de valkuil van "een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 in de database bepaalt de domeinkeuze") mondeling bij de introductie van het objectkeuzeblad. Schrap nooit opdracht 5: het rollenspel is het enige onderdeel waarin deelnemers hardop moeten redeneren onder tijdsdruk, wat het meest lijkt op hoe deze afweging in een echte modelleersessie verloopt.</w:t>
      </w:r>
    </w:p>
    <w:p>
      <w:pPr>
        <w:pStyle w:val="Heading2"/>
        <w:spacing w:after="120" w:before="200"/>
      </w:pPr>
      <w:r>
        <w:rPr>
          <w:rFonts w:ascii="Georgia" w:cs="Georgia" w:eastAsia="Georgia" w:hAnsi="Georgia"/>
          <w:b/>
          <w:bCs/>
          <w:color w:val="2C5AA0"/>
          <w:sz w:val="28"/>
          <w:szCs w:val="28"/>
        </w:rPr>
        <w:t xml:space="preserve">3. De openingsvraag</w:t>
      </w:r>
    </w:p>
    <w:p>
      <w:pPr>
        <w:spacing w:after="140" w:line="300"/>
      </w:pPr>
      <w:r>
        <w:rPr>
          <w:rFonts w:ascii="Calibri" w:cs="Calibri" w:eastAsia="Calibri" w:hAnsi="Calibri"/>
          <w:b w:val="false"/>
          <w:bCs w:val="false"/>
          <w:i w:val="false"/>
          <w:iCs w:val="false"/>
          <w:sz w:val="22"/>
          <w:szCs w:val="22"/>
        </w:rPr>
        <w:t xml:space="preserve">Begin niet met de definitie van entity en value object. Stel de groep deze vraag en laat hem even hangen:</w:t>
      </w:r>
    </w:p>
    <w:tbl>
      <w:tblPr>
        <w:tblW w:type="pct" w:w="100%"/>
        <w:tblBorders>
          <w:top w:val="single" w:color="F2F2F2" w:sz="2"/>
          <w:left w:val="single" w:color="2C5AA0"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*"Twee brieven aan nabestaanden bevatten precies hetzelfde bedrag: € 842,17. Zijn dat 'twee keer hetzelfde bedrag', of zijn dat twee verschillende bedragen die toevallig gelijk zijn? En verandert je antwoord als het niet om een bedrag gaat, maar om twee dossiers met toevallig identieke gegevens?"*</w:t>
            </w:r>
          </w:p>
        </w:tc>
      </w:tr>
    </w:tbl>
    <w:p>
      <w:pPr>
        <w:spacing w:after="140" w:line="300"/>
      </w:pPr>
      <w:r>
        <w:rPr>
          <w:rFonts w:ascii="Calibri" w:cs="Calibri" w:eastAsia="Calibri" w:hAnsi="Calibri"/>
          <w:b w:val="false"/>
          <w:bCs w:val="false"/>
          <w:i w:val="false"/>
          <w:iCs w:val="false"/>
          <w:sz w:val="22"/>
          <w:szCs w:val="22"/>
        </w:rPr>
        <w:t xml:space="preserve">Verzamel antwoorden op een flap zonder te oordelen. Veelvoorkomende antwoorden: "een bedrag is gewoon een bedrag", "twee dossiers zijn nooit hetzelfde, ook al lijken ze op elkaar". Bewaar de flap: aan het eind van dit deel kom je terug op de vraag of de groep haar eigen intuïtie nu ook kan onderbouwen met de vier vragen van het objectkeuzeblad.</w:t>
      </w:r>
    </w:p>
    <w:p>
      <w:pPr>
        <w:pStyle w:val="Heading2"/>
        <w:spacing w:after="120" w:before="200"/>
      </w:pPr>
      <w:r>
        <w:rPr>
          <w:rFonts w:ascii="Georgia" w:cs="Georgia" w:eastAsia="Georgia" w:hAnsi="Georgia"/>
          <w:b/>
          <w:bCs/>
          <w:color w:val="2C5AA0"/>
          <w:sz w:val="28"/>
          <w:szCs w:val="28"/>
        </w:rPr>
        <w:t xml:space="preserve">4. Didactische aanwijzingen per onderdeel</w:t>
      </w:r>
    </w:p>
    <w:p>
      <w:pPr>
        <w:spacing w:after="140" w:line="300"/>
      </w:pPr>
      <w:r>
        <w:rPr>
          <w:rFonts w:ascii="Calibri" w:cs="Calibri" w:eastAsia="Calibri" w:hAnsi="Calibri"/>
          <w:b/>
          <w:bCs/>
          <w:i w:val="false"/>
          <w:iCs w:val="false"/>
          <w:sz w:val="22"/>
          <w:szCs w:val="22"/>
        </w:rPr>
        <w:t xml:space="preserve">Wat identiteit en waarde zijn (0:15-0:45).</w:t>
      </w:r>
      <w:r>
        <w:rPr>
          <w:rFonts w:ascii="Calibri" w:cs="Calibri" w:eastAsia="Calibri" w:hAnsi="Calibri"/>
          <w:b w:val="false"/>
          <w:bCs w:val="false"/>
          <w:i w:val="false"/>
          <w:iCs w:val="false"/>
          <w:sz w:val="22"/>
          <w:szCs w:val="22"/>
        </w:rPr>
        <w:t xml:space="preserve"> Laat het onderscheid niet met een definitie beginnen, maar met de twee testvragen uit de reader (§5.3): "zijn twee identieke exemplaren toch verschillend?" en "is er een zinvolle vraag of dit nog hetzelfde is na wijziging?" Oefen die twee vragen eerst op iets buiten de casus (bijvoorbeeld: twee briefkaarten met dezelfde tekst versus twee mensen met dezelfde naam) voordat je naar dossier 5216 gaat — dat voorkomt dat deelnemers de vragen alleen in de casus-context leren toepassen.</w:t>
      </w:r>
    </w:p>
    <w:p>
      <w:pPr>
        <w:spacing w:after="140" w:line="300"/>
      </w:pPr>
      <w:r>
        <w:rPr>
          <w:rFonts w:ascii="Calibri" w:cs="Calibri" w:eastAsia="Calibri" w:hAnsi="Calibri"/>
          <w:b/>
          <w:bCs/>
          <w:i w:val="false"/>
          <w:iCs w:val="false"/>
          <w:sz w:val="22"/>
          <w:szCs w:val="22"/>
        </w:rPr>
        <w:t xml:space="preserve">De casus (0:15-0:45).</w:t>
      </w:r>
      <w:r>
        <w:rPr>
          <w:rFonts w:ascii="Calibri" w:cs="Calibri" w:eastAsia="Calibri" w:hAnsi="Calibri"/>
          <w:b w:val="false"/>
          <w:bCs w:val="false"/>
          <w:i w:val="false"/>
          <w:iCs w:val="false"/>
          <w:sz w:val="22"/>
          <w:szCs w:val="22"/>
        </w:rPr>
        <w:t xml:space="preserve"> Laat de groep eerst zelf raden waarom Rutger "dat voelt anders" zegt bij de partnervaststelling, voordat je de conclusie voorleest. Rutgers intuïtie is didactisch waardevol omdat hij het juiste antwoord voelt zonder het te kunnen onderbouwen — precies de stap die het objectkeuzeblad daarna expliciet maakt.</w:t>
      </w:r>
    </w:p>
    <w:p>
      <w:pPr>
        <w:spacing w:after="140" w:line="300"/>
      </w:pPr>
      <w:r>
        <w:rPr>
          <w:rFonts w:ascii="Calibri" w:cs="Calibri" w:eastAsia="Calibri" w:hAnsi="Calibri"/>
          <w:b/>
          <w:bCs/>
          <w:i w:val="false"/>
          <w:iCs w:val="false"/>
          <w:sz w:val="22"/>
          <w:szCs w:val="22"/>
        </w:rPr>
        <w:t xml:space="preserve">Opdracht 1.</w:t>
      </w:r>
      <w:r>
        <w:rPr>
          <w:rFonts w:ascii="Calibri" w:cs="Calibri" w:eastAsia="Calibri" w:hAnsi="Calibri"/>
          <w:b w:val="false"/>
          <w:bCs w:val="false"/>
          <w:i w:val="false"/>
          <w:iCs w:val="false"/>
          <w:sz w:val="22"/>
          <w:szCs w:val="22"/>
        </w:rPr>
        <w:t xml:space="preserve"> Item 3 (het bedrag) en item 6 (het dossier als geheel) leveren meestal de minste discussie op. Item 7 (het telefoonnummer) levert soms discussie op omdat sommige deelnemers een telefoonnummer als "iets van de persoon" willen zien in plaats van als zelfstandig value object — gebruik dat om te benadrukken dat een value object gekoppeld kán zijn aan een entity (het telefoonnummer hoort bij de nabestaande) zonder zelf een entity te zijn.</w:t>
      </w:r>
    </w:p>
    <w:p>
      <w:pPr>
        <w:spacing w:after="140" w:line="300"/>
      </w:pPr>
      <w:r>
        <w:rPr>
          <w:rFonts w:ascii="Calibri" w:cs="Calibri" w:eastAsia="Calibri" w:hAnsi="Calibri"/>
          <w:b/>
          <w:bCs/>
          <w:i w:val="false"/>
          <w:iCs w:val="false"/>
          <w:sz w:val="22"/>
          <w:szCs w:val="22"/>
        </w:rPr>
        <w:t xml:space="preserve">Het objectkeuzeblad (1:40-1:55).</w:t>
      </w:r>
      <w:r>
        <w:rPr>
          <w:rFonts w:ascii="Calibri" w:cs="Calibri" w:eastAsia="Calibri" w:hAnsi="Calibri"/>
          <w:b w:val="false"/>
          <w:bCs w:val="false"/>
          <w:i w:val="false"/>
          <w:iCs w:val="false"/>
          <w:sz w:val="22"/>
          <w:szCs w:val="22"/>
        </w:rPr>
        <w:t xml:space="preserve"> Benoem uitdrukkelijk dat het vijfde, afsluitende veld ("dat het verschil maakt") hetzelfde terugkerende patroon volgt als de complexiteitstoets (deel 1), de taalkaart (deel 2) en de modeltoets (deel 4). Herhaal de familieboodschap: elk instrument eindigt met een veld dat van constatering naar consequentie dwingt.</w:t>
      </w:r>
    </w:p>
    <w:p>
      <w:pPr>
        <w:spacing w:after="140" w:line="300"/>
      </w:pPr>
      <w:r>
        <w:rPr>
          <w:rFonts w:ascii="Calibri" w:cs="Calibri" w:eastAsia="Calibri" w:hAnsi="Calibri"/>
          <w:b/>
          <w:bCs/>
          <w:i w:val="false"/>
          <w:iCs w:val="false"/>
          <w:sz w:val="22"/>
          <w:szCs w:val="22"/>
        </w:rPr>
        <w:t xml:space="preserve">Opdracht 3.</w:t>
      </w:r>
      <w:r>
        <w:rPr>
          <w:rFonts w:ascii="Calibri" w:cs="Calibri" w:eastAsia="Calibri" w:hAnsi="Calibri"/>
          <w:b w:val="false"/>
          <w:bCs w:val="false"/>
          <w:i w:val="false"/>
          <w:iCs w:val="false"/>
          <w:sz w:val="22"/>
          <w:szCs w:val="22"/>
        </w:rPr>
        <w:t xml:space="preserve"> Dit is de belangrijkste correctie in dit deel. Laat deelnemers eerst zelf, zonder de reader erbij, proberen de aanname uit dossierstuk 5-C te weerleggen. Wie moeite heeft, verwijs je terug naar de "kaart en terrein"-metafoor uit deel 4: een </w:t>
      </w:r>
      <w:r>
        <w:rPr>
          <w:rFonts w:ascii="Calibri" w:cs="Calibri" w:eastAsia="Calibri" w:hAnsi="Calibri"/>
          <w:b w:val="false"/>
          <w:bCs w:val="false"/>
          <w:i w:val="false"/>
          <w:iCs w:val="false"/>
          <w:sz w:val="22"/>
          <w:szCs w:val="22"/>
        </w:rPr>
        <w:t xml:space="preserve">id</w:t>
      </w:r>
      <w:r>
        <w:rPr>
          <w:rFonts w:ascii="Calibri" w:cs="Calibri" w:eastAsia="Calibri" w:hAnsi="Calibri"/>
          <w:b w:val="false"/>
          <w:bCs w:val="false"/>
          <w:i w:val="false"/>
          <w:iCs w:val="false"/>
          <w:sz w:val="22"/>
          <w:szCs w:val="22"/>
        </w:rPr>
        <w:t xml:space="preserve">-kolom is techniek, geen domeinuitspraak.</w:t>
      </w:r>
    </w:p>
    <w:p>
      <w:pPr>
        <w:spacing w:after="140" w:line="300"/>
      </w:pPr>
      <w:r>
        <w:rPr>
          <w:rFonts w:ascii="Calibri" w:cs="Calibri" w:eastAsia="Calibri" w:hAnsi="Calibri"/>
          <w:b/>
          <w:bCs/>
          <w:i w:val="false"/>
          <w:iCs w:val="false"/>
          <w:sz w:val="22"/>
          <w:szCs w:val="22"/>
        </w:rPr>
        <w:t xml:space="preserve">Opdracht 4.</w:t>
      </w:r>
      <w:r>
        <w:rPr>
          <w:rFonts w:ascii="Calibri" w:cs="Calibri" w:eastAsia="Calibri" w:hAnsi="Calibri"/>
          <w:b w:val="false"/>
          <w:bCs w:val="false"/>
          <w:i w:val="false"/>
          <w:iCs w:val="false"/>
          <w:sz w:val="22"/>
          <w:szCs w:val="22"/>
        </w:rPr>
        <w:t xml:space="preserve"> Laat deelnemers hun ingevulde objectkeuzeblad voorlezen. Let specifiek op de tweede vraag ("is er een zinvolle vraag of dit nog hetzelfde is na wijziging?") — dit is de vraag waarbij deelnemers het snelst vervallen tot een te snel "ja, natuurlijk" zonder er echt over na te denken. Stuur bij met: "geef een concreet voorbeeld van een wijziging, en beschrijf wat er dan gebeurt."</w:t>
      </w:r>
    </w:p>
    <w:p>
      <w:pPr>
        <w:spacing w:after="140" w:line="300"/>
      </w:pPr>
      <w:r>
        <w:rPr>
          <w:rFonts w:ascii="Calibri" w:cs="Calibri" w:eastAsia="Calibri" w:hAnsi="Calibri"/>
          <w:b/>
          <w:bCs/>
          <w:i w:val="false"/>
          <w:iCs w:val="false"/>
          <w:sz w:val="22"/>
          <w:szCs w:val="22"/>
        </w:rPr>
        <w:t xml:space="preserve">Opdracht 5 (rollenspel).</w:t>
      </w:r>
      <w:r>
        <w:rPr>
          <w:rFonts w:ascii="Calibri" w:cs="Calibri" w:eastAsia="Calibri" w:hAnsi="Calibri"/>
          <w:b w:val="false"/>
          <w:bCs w:val="false"/>
          <w:i w:val="false"/>
          <w:iCs w:val="false"/>
          <w:sz w:val="22"/>
          <w:szCs w:val="22"/>
        </w:rPr>
        <w:t xml:space="preserve"> Drie aanwijzingen:</w:t>
      </w:r>
    </w:p>
    <w:p>
      <w:pPr>
        <w:pStyle w:val="ListParagraph"/>
        <w:numPr>
          <w:ilvl w:val="0"/>
          <w:numId w:val="1"/>
        </w:numPr>
        <w:spacing w:after="80"/>
      </w:pPr>
      <w:r>
        <w:rPr>
          <w:rFonts w:ascii="Calibri" w:cs="Calibri" w:eastAsia="Calibri" w:hAnsi="Calibri"/>
          <w:sz w:val="22"/>
          <w:szCs w:val="22"/>
        </w:rPr>
        <w:t xml:space="preserve">Laat "Willemijn" de gebeurtenissen echt vrij verzinnen (binnen de kaders van de casus), niet uit een lijstje kiezen — improvisatie dwingt "Daan" om de vier vragen zelf toe te passen in plaats van een uitkomst uit het hoofd te reproduceren.</w:t>
      </w:r>
    </w:p>
    <w:p>
      <w:pPr>
        <w:pStyle w:val="ListParagraph"/>
        <w:numPr>
          <w:ilvl w:val="0"/>
          <w:numId w:val="1"/>
        </w:numPr>
        <w:spacing w:after="80"/>
      </w:pPr>
      <w:r>
        <w:rPr>
          <w:rFonts w:ascii="Calibri" w:cs="Calibri" w:eastAsia="Calibri" w:hAnsi="Calibri"/>
          <w:sz w:val="22"/>
          <w:szCs w:val="22"/>
        </w:rPr>
        <w:t xml:space="preserve">Grijp niet in als "Daan" een verkeerde conclusie trekt. Laat de nabespreking dat blootleggen: vraag welke vraag uit het objectkeuzeblad tot de conclusie leidde, en of die vraag juist is toegepast.</w:t>
      </w:r>
    </w:p>
    <w:p>
      <w:pPr>
        <w:pStyle w:val="ListParagraph"/>
        <w:numPr>
          <w:ilvl w:val="0"/>
          <w:numId w:val="1"/>
        </w:numPr>
        <w:spacing w:after="80"/>
      </w:pPr>
      <w:r>
        <w:rPr>
          <w:rFonts w:ascii="Calibri" w:cs="Calibri" w:eastAsia="Calibri" w:hAnsi="Calibri"/>
          <w:sz w:val="22"/>
          <w:szCs w:val="22"/>
        </w:rPr>
        <w:t xml:space="preserve">Bij twijfel tussen entity en value object (dit gebeurt vaak bij "de derde gebeurtenis naar keuze") is er zelden een absoluut fout antwoord — stuur op een goed onderbouwde keuze, niet op één "juiste" uitkomst.</w:t>
      </w:r>
    </w:p>
    <w:p>
      <w:pPr>
        <w:spacing w:after="140" w:line="300"/>
      </w:pPr>
      <w:r>
        <w:rPr>
          <w:rFonts w:ascii="Calibri" w:cs="Calibri" w:eastAsia="Calibri" w:hAnsi="Calibri"/>
          <w:b/>
          <w:bCs/>
          <w:i w:val="false"/>
          <w:iCs w:val="false"/>
          <w:sz w:val="22"/>
          <w:szCs w:val="22"/>
        </w:rPr>
        <w:t xml:space="preserve">Opdracht 6.</w:t>
      </w:r>
      <w:r>
        <w:rPr>
          <w:rFonts w:ascii="Calibri" w:cs="Calibri" w:eastAsia="Calibri" w:hAnsi="Calibri"/>
          <w:b w:val="false"/>
          <w:bCs w:val="false"/>
          <w:i w:val="false"/>
          <w:iCs w:val="false"/>
          <w:sz w:val="22"/>
          <w:szCs w:val="22"/>
        </w:rPr>
        <w:t xml:space="preserve"> Stuur op de samenhang tussen deel 4 en deel 5: beide delen waarschuwen tegen het laten bepalen van een domeinkeuze door een technisch kenmerk. Als de groep dit lastig vindt te verwoorden, vraag dan: "als Daan het objectkeuzeblad had gebruikt vóórdat hij zijn eerste diagram in deel 4 tekende, was </w:t>
      </w:r>
      <w:r>
        <w:rPr>
          <w:rFonts w:ascii="Calibri" w:cs="Calibri" w:eastAsia="Calibri" w:hAnsi="Calibri"/>
          <w:b w:val="false"/>
          <w:bCs w:val="false"/>
          <w:i w:val="false"/>
          <w:iCs w:val="false"/>
          <w:sz w:val="22"/>
          <w:szCs w:val="22"/>
        </w:rPr>
        <w:t xml:space="preserve">partnertype_code</w:t>
      </w:r>
      <w:r>
        <w:rPr>
          <w:rFonts w:ascii="Calibri" w:cs="Calibri" w:eastAsia="Calibri" w:hAnsi="Calibri"/>
          <w:b w:val="false"/>
          <w:bCs w:val="false"/>
          <w:i w:val="false"/>
          <w:iCs w:val="false"/>
          <w:sz w:val="22"/>
          <w:szCs w:val="22"/>
        </w:rPr>
        <w:t xml:space="preserve"> er dan anders uitgekomen?"</w:t>
      </w:r>
    </w:p>
    <w:p>
      <w:pPr>
        <w:pStyle w:val="Heading2"/>
        <w:spacing w:after="120" w:before="200"/>
      </w:pPr>
      <w:r>
        <w:rPr>
          <w:rFonts w:ascii="Georgia" w:cs="Georgia" w:eastAsia="Georgia" w:hAnsi="Georgia"/>
          <w:b/>
          <w:bCs/>
          <w:color w:val="2C5AA0"/>
          <w:sz w:val="28"/>
          <w:szCs w:val="28"/>
        </w:rPr>
        <w:t xml:space="preserve">5. Veelgemaakte fouten en hoe je erop reageert</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"Entity is belangrijk, value object is onbelangrijk"</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Verwarring tussen betekenis van het begrip en gewicht van het begrip</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Wijs op Rutgers conclusie in de reader: het gaat om identiteit versus waarde, niet om belangrijkheid</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Elk begrip met een naam wordt entity genoemd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Impliciete gelijkstelling "heeft een naam" = "is belangrijk genoeg voor identiteit"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Laat de twee testvragen uit §5.3 letterlijk toepassen, niet de intuïtie volgen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Objectkeuzeblad ingevuld met alleen de conclusie, geen onderbouwing per vraag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Haastwerk, of onduidelijkheid over wat elke vraag toetst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naar het concrete voorbeeld dat bij elke vraag hoort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Vijfde veld blijft algemeen ("dat wordt verwarrend")</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Ontwijking van de concrete consequentie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"wie merkt dit als eerste, en in welke situatie precies?"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 twijfelt blijvend tussen entity en value object bij een grensgeval</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begrip zit inherent op de grens (zoals de partnervaststelling)</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Normaliseer dit: leg uit dat de partnervaststelling in de casus ook pas na doorvragen (Saïda's compliance-eis) duidelijk werd — twijfel is hier een teken van goed nadenken, niet van een fout</w:t>
            </w:r>
          </w:p>
        </w:tc>
      </w:tr>
    </w:tbl>
    <w:p>
      <w:pPr>
        <w:pStyle w:val="Heading2"/>
        <w:spacing w:after="120" w:before="200"/>
      </w:pPr>
      <w:r>
        <w:rPr>
          <w:rFonts w:ascii="Georgia" w:cs="Georgia" w:eastAsia="Georgia" w:hAnsi="Georgia"/>
          <w:b/>
          <w:bCs/>
          <w:color w:val="2C5AA0"/>
          <w:sz w:val="28"/>
          <w:szCs w:val="28"/>
        </w:rPr>
        <w:t xml:space="preserve">6. Beoordeling</w:t>
      </w:r>
    </w:p>
    <w:p>
      <w:pPr>
        <w:spacing w:after="140" w:line="300"/>
      </w:pPr>
      <w:r>
        <w:rPr>
          <w:rFonts w:ascii="Calibri" w:cs="Calibri" w:eastAsia="Calibri" w:hAnsi="Calibri"/>
          <w:b w:val="false"/>
          <w:bCs w:val="false"/>
          <w:i w:val="false"/>
          <w:iCs w:val="false"/>
          <w:sz w:val="22"/>
          <w:szCs w:val="22"/>
        </w:rPr>
        <w:t xml:space="preserve">Deel 5 wordt niet becijferd. Wel houd je per deelnemer bij of het objectkeuzeblad uit opdracht 4 aan drie eisen voldoet; dat is het vijfde ijkpunt voor de capstone in deel 10. Noteer alleen: voldoet / voldoet met hulp / voldoet niet.</w:t>
      </w:r>
    </w:p>
    <w:p>
      <w:pPr>
        <w:spacing w:after="140" w:line="300"/>
      </w:pPr>
      <w:r>
        <w:rPr>
          <w:rFonts w:ascii="Calibri" w:cs="Calibri" w:eastAsia="Calibri" w:hAnsi="Calibri"/>
          <w:b w:val="false"/>
          <w:bCs w:val="false"/>
          <w:i w:val="false"/>
          <w:iCs w:val="false"/>
          <w:sz w:val="22"/>
          <w:szCs w:val="22"/>
        </w:rPr>
        <w:t xml:space="preserve">Drie eisen, ter herinnering: alle vier de vragen zijn beantwoord met een concreet voorbeeld, niet met een algemeen oordeel; bij een entity is het identificerende kenmerk expliciet benoemd; het vijfde veld benoemt een concrete consequentie met een rol of naam erbij.</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Casusdossier niveau 1</w:t>
      </w:r>
    </w:p>
    <w:p>
      <w:pPr>
        <w:pStyle w:val="ListParagraph"/>
        <w:numPr>
          <w:ilvl w:val="0"/>
          <w:numId w:val="1"/>
        </w:numPr>
        <w:spacing w:after="80"/>
      </w:pPr>
      <w:r>
        <w:rPr>
          <w:rFonts w:ascii="Calibri" w:cs="Calibri" w:eastAsia="Calibri" w:hAnsi="Calibri"/>
          <w:sz w:val="22"/>
          <w:szCs w:val="22"/>
        </w:rPr>
        <w:t xml:space="preserve">Werkboek deel 5, inclusief dossierstukken 5-A, 5-B en 5-C</w:t>
      </w:r>
    </w:p>
    <w:p>
      <w:pPr>
        <w:pStyle w:val="ListParagraph"/>
        <w:numPr>
          <w:ilvl w:val="0"/>
          <w:numId w:val="1"/>
        </w:numPr>
        <w:spacing w:after="80"/>
      </w:pPr>
      <w:r>
        <w:rPr>
          <w:rFonts w:ascii="Calibri" w:cs="Calibri" w:eastAsia="Calibri" w:hAnsi="Calibri"/>
          <w:sz w:val="22"/>
          <w:szCs w:val="22"/>
        </w:rPr>
        <w:t xml:space="preserve">Slidedeck deel 5</w:t>
      </w:r>
    </w:p>
    <w:p>
      <w:pPr>
        <w:pStyle w:val="ListParagraph"/>
        <w:numPr>
          <w:ilvl w:val="0"/>
          <w:numId w:val="1"/>
        </w:numPr>
        <w:spacing w:after="80"/>
      </w:pPr>
      <w:r>
        <w:rPr>
          <w:rFonts w:ascii="Calibri" w:cs="Calibri" w:eastAsia="Calibri" w:hAnsi="Calibri"/>
          <w:sz w:val="22"/>
          <w:szCs w:val="22"/>
        </w:rPr>
        <w:t xml:space="preserve">Flap-over voor de openingsvraag</w:t>
      </w:r>
    </w:p>
    <w:p>
      <w:pPr>
        <w:pStyle w:val="ListParagraph"/>
        <w:numPr>
          <w:ilvl w:val="0"/>
          <w:numId w:val="1"/>
        </w:numPr>
        <w:spacing w:after="80"/>
      </w:pPr>
      <w:r>
        <w:rPr>
          <w:rFonts w:ascii="Calibri" w:cs="Calibri" w:eastAsia="Calibri" w:hAnsi="Calibri"/>
          <w:sz w:val="22"/>
          <w:szCs w:val="22"/>
        </w:rPr>
        <w:t xml:space="preserve">Blanco objectkeuzeblad-invulbladen, minstens drie per deelnemer</w:t>
      </w:r>
    </w:p>
    <w:p>
      <w:pPr>
        <w:pStyle w:val="ListParagraph"/>
        <w:numPr>
          <w:ilvl w:val="0"/>
          <w:numId w:val="1"/>
        </w:numPr>
        <w:spacing w:after="80"/>
      </w:pPr>
      <w:r>
        <w:rPr>
          <w:rFonts w:ascii="Calibri" w:cs="Calibri" w:eastAsia="Calibri" w:hAnsi="Calibri"/>
          <w:sz w:val="22"/>
          <w:szCs w:val="22"/>
        </w:rPr>
        <w:t xml:space="preserve">Modeltoets van de deelnemer uit deel 4, voor de vergelijking in opdracht 6</w:t>
      </w:r>
    </w:p>
    <w:p>
      <w:pPr>
        <w:pStyle w:val="Heading2"/>
        <w:spacing w:after="120" w:before="200"/>
      </w:pPr>
      <w:r>
        <w:rPr>
          <w:rFonts w:ascii="Georgia" w:cs="Georgia" w:eastAsia="Georgia" w:hAnsi="Georgia"/>
          <w:b/>
          <w:bCs/>
          <w:color w:val="2C5AA0"/>
          <w:sz w:val="28"/>
          <w:szCs w:val="28"/>
        </w:rPr>
        <w:t xml:space="preserve">8. Aantekeningen voor de docent over de examenlijn</w:t>
      </w:r>
    </w:p>
    <w:p>
      <w:pPr>
        <w:pStyle w:val="ListParagraph"/>
        <w:numPr>
          <w:ilvl w:val="0"/>
          <w:numId w:val="1"/>
        </w:numPr>
        <w:spacing w:after="80"/>
      </w:pPr>
      <w:r>
        <w:rPr>
          <w:rFonts w:ascii="Calibri" w:cs="Calibri" w:eastAsia="Calibri" w:hAnsi="Calibri"/>
          <w:sz w:val="22"/>
          <w:szCs w:val="22"/>
        </w:rPr>
        <w:t xml:space="preserve">"Entity" en "value object" staan letterlijk en als eerste twee begrippen in de tactische bouwstenenreeks van het officiële curriculum van de iSAQB Advanced-module DDD. Dit deel is dus kernstof, niet voorbereidend.</w:t>
      </w:r>
    </w:p>
    <w:p>
      <w:pPr>
        <w:pStyle w:val="ListParagraph"/>
        <w:numPr>
          <w:ilvl w:val="0"/>
          <w:numId w:val="1"/>
        </w:numPr>
        <w:spacing w:after="80"/>
      </w:pPr>
      <w:r>
        <w:rPr>
          <w:rFonts w:ascii="Calibri" w:cs="Calibri" w:eastAsia="Calibri" w:hAnsi="Calibri"/>
          <w:sz w:val="22"/>
          <w:szCs w:val="22"/>
        </w:rPr>
        <w:t xml:space="preserve">Herhaal, indien gevraagd, de positionering: deze cursus bereidt voor op de module, levert zelf geen certificaat, en credit points zijn alleen te verzilveren via een erkende iSAQB-trainingsprovider.</w:t>
      </w:r>
    </w:p>
    <w:p>
      <w:pPr>
        <w:pStyle w:val="ListParagraph"/>
        <w:numPr>
          <w:ilvl w:val="0"/>
          <w:numId w:val="1"/>
        </w:numPr>
        <w:spacing w:after="80"/>
      </w:pPr>
      <w:r>
        <w:rPr>
          <w:rFonts w:ascii="Calibri" w:cs="Calibri" w:eastAsia="Calibri" w:hAnsi="Calibri"/>
          <w:sz w:val="22"/>
          <w:szCs w:val="22"/>
        </w:rPr>
        <w:t xml:space="preserve">Deelnemers vragen soms of "identiteit versus waarde" een letterlijke examenformulering is. Zeg dat de kern (entity heeft identiteit los van attributen, value object is volledig bepaald door zijn attributen) wél letterlijk examenstof is, maar dat de tweeledige testvraag uit dit deel een eigen Ductus-hulpmiddel is om die kern te leren toepassen, geen citeerbare examenformule.</w:t>
      </w:r>
    </w:p>
    <w:p>
      <w:pPr>
        <w:pStyle w:val="ListParagraph"/>
        <w:numPr>
          <w:ilvl w:val="0"/>
          <w:numId w:val="1"/>
        </w:numPr>
        <w:spacing w:after="80"/>
      </w:pPr>
      <w:r>
        <w:rPr>
          <w:rFonts w:ascii="Calibri" w:cs="Calibri" w:eastAsia="Calibri" w:hAnsi="Calibri"/>
          <w:sz w:val="22"/>
          <w:szCs w:val="22"/>
        </w:rPr>
        <w:t xml:space="preserve">Vanaf deel 6 gaat het team de grens trekken waarbinnen entity's en value objects samen consistent moeten blijven — het aggregate. Benoem uitdrukkelijk dat de indeling uit dit deel niet losstaat van deel 6: welke objecten een entity of value object zijn, bepaalt mede hoe de aggregaatgrens er straks uitziet.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1 · Deel 05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2026-08-16T19:17:59.281Z</dcterms:created>
  <dcterms:modified xsi:type="dcterms:W3CDTF">2026-08-16T19:17:59.281Z</dcterms:modified>
</cp:coreProperties>
</file>

<file path=docProps/custom.xml><?xml version="1.0" encoding="utf-8"?>
<Properties xmlns="http://schemas.openxmlformats.org/officeDocument/2006/custom-properties" xmlns:vt="http://schemas.openxmlformats.org/officeDocument/2006/docPropsVTypes"/>
</file>