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5 — Entity en value object: identiteit versus waarde</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5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5-A — Dossierlogboek 5216 en 5217 (fragment)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**Dossier 5216** — nabestaande: mevrouw De Waard-Kuipers. Toekenning partnerpensioen 14-03-2024, bedrag € 842,17 per maand. Adreswijziging 02-09-2024: van Julianalaan 12, Zwolle naar Prinsengracht 88, Zwolle. Herberekening 11-06-2025 na wijziging franchisebedrag: nieuw bedrag € 861,40 per maand, ingangsdatum 01-07-2025.</w:t>
            </w:r>
          </w:p>
          <w:p>
            <w:pPr>
              <w:spacing w:after="100" w:line="280"/>
            </w:pPr>
            <w:r>
              <w:rPr>
                <w:rFonts w:ascii="Calibri" w:cs="Calibri" w:eastAsia="Calibri" w:hAnsi="Calibri"/>
                <w:i/>
                <w:iCs/>
                <w:sz w:val="22"/>
                <w:szCs w:val="22"/>
              </w:rPr>
              <w:t xml:space="preserve">**Dossier 5217** — nabestaande: mevrouw Van Alst. Toekenning partnerpensioen 03-01-2023, bedrag € 615,90 per maand. Naamswijziging 20-05-2025 na hertrouwen: nieuwe achternaam Bosscha-Van Alst. Adres ongewijzigd.</w:t>
            </w:r>
          </w:p>
        </w:tc>
      </w:tr>
    </w:tbl>
    <w:p>
      <w:pPr>
        <w:pStyle w:val="Heading2"/>
        <w:spacing w:after="120" w:before="200"/>
      </w:pPr>
      <w:r>
        <w:rPr>
          <w:rFonts w:ascii="Georgia" w:cs="Georgia" w:eastAsia="Georgia" w:hAnsi="Georgia"/>
          <w:b/>
          <w:bCs/>
          <w:color w:val="2C5AA0"/>
          <w:sz w:val="28"/>
          <w:szCs w:val="28"/>
        </w:rPr>
        <w:t xml:space="preserve">Dossierstuk 5-B — Gespreksfragment: Rutger over de vaststelling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**Rutger:** "Bij het adres was er nooit twijfel — er is er maar één, en die verandert gewoon. Bij een vaststelling voelt dat anders. Als het bedrag verandert, is de vaststelling zelf toch niet meer hetzelfde? Het is een ander besluit, met een andere uitkomst."</w:t>
            </w:r>
          </w:p>
          <w:p>
            <w:pPr>
              <w:spacing w:after="100" w:line="280"/>
            </w:pPr>
            <w:r>
              <w:rPr>
                <w:rFonts w:ascii="Calibri" w:cs="Calibri" w:eastAsia="Calibri" w:hAnsi="Calibri"/>
                <w:i/>
                <w:iCs/>
                <w:sz w:val="22"/>
                <w:szCs w:val="22"/>
              </w:rPr>
              <w:t xml:space="preserve">**Saïda:** "Als er ooit een bezwaar komt tegen een oud bedrag, moet ik kunnen aanwijzen: dit was de vaststelling van destijds, met dít bedrag, op díe datum."</w:t>
            </w:r>
          </w:p>
        </w:tc>
      </w:tr>
    </w:tbl>
    <w:p>
      <w:pPr>
        <w:pStyle w:val="Heading2"/>
        <w:spacing w:after="120" w:before="200"/>
      </w:pPr>
      <w:r>
        <w:rPr>
          <w:rFonts w:ascii="Georgia" w:cs="Georgia" w:eastAsia="Georgia" w:hAnsi="Georgia"/>
          <w:b/>
          <w:bCs/>
          <w:color w:val="2C5AA0"/>
          <w:sz w:val="28"/>
          <w:szCs w:val="28"/>
        </w:rPr>
        <w:t xml:space="preserve">Dossierstuk 5-C — Rutgers eerdere aanname (uit een eerdere, informele notitie)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"Alles wat in de polisadministratie een eigen `id` heeft, behandel ik als entity. Zo heb ik het altijd gedaan: `ADRES` heeft een `id`, dus is het een entity."</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Entity of value object? Eerste ronde (15 min)</w:t>
      </w:r>
    </w:p>
    <w:p>
      <w:pPr>
        <w:spacing w:after="140" w:line="300"/>
      </w:pPr>
      <w:r>
        <w:rPr>
          <w:rFonts w:ascii="Calibri" w:cs="Calibri" w:eastAsia="Calibri" w:hAnsi="Calibri"/>
          <w:b w:val="false"/>
          <w:bCs w:val="false"/>
          <w:i w:val="false"/>
          <w:iCs w:val="false"/>
          <w:sz w:val="22"/>
          <w:szCs w:val="22"/>
        </w:rPr>
        <w:t xml:space="preserve">Beoordeel per begrip of het waarschijnlijk een </w:t>
      </w:r>
      <w:r>
        <w:rPr>
          <w:rFonts w:ascii="Calibri" w:cs="Calibri" w:eastAsia="Calibri" w:hAnsi="Calibri"/>
          <w:b/>
          <w:bCs/>
          <w:i w:val="false"/>
          <w:iCs w:val="false"/>
          <w:sz w:val="22"/>
          <w:szCs w:val="22"/>
        </w:rPr>
        <w:t xml:space="preserve">entity</w:t>
      </w:r>
      <w:r>
        <w:rPr>
          <w:rFonts w:ascii="Calibri" w:cs="Calibri" w:eastAsia="Calibri" w:hAnsi="Calibri"/>
          <w:b w:val="false"/>
          <w:bCs w:val="false"/>
          <w:i w:val="false"/>
          <w:iCs w:val="false"/>
          <w:sz w:val="22"/>
          <w:szCs w:val="22"/>
        </w:rPr>
        <w:t xml:space="preserve"> of een </w:t>
      </w:r>
      <w:r>
        <w:rPr>
          <w:rFonts w:ascii="Calibri" w:cs="Calibri" w:eastAsia="Calibri" w:hAnsi="Calibri"/>
          <w:b/>
          <w:bCs/>
          <w:i w:val="false"/>
          <w:iCs w:val="false"/>
          <w:sz w:val="22"/>
          <w:szCs w:val="22"/>
        </w:rPr>
        <w:t xml:space="preserve">value object</w:t>
      </w:r>
      <w:r>
        <w:rPr>
          <w:rFonts w:ascii="Calibri" w:cs="Calibri" w:eastAsia="Calibri" w:hAnsi="Calibri"/>
          <w:b w:val="false"/>
          <w:bCs w:val="false"/>
          <w:i w:val="false"/>
          <w:iCs w:val="false"/>
          <w:sz w:val="22"/>
          <w:szCs w:val="22"/>
        </w:rPr>
        <w:t xml:space="preserve"> is, met een korte onderbouwing (één zin volstaat).</w:t>
      </w:r>
    </w:p>
    <w:p>
      <w:pPr>
        <w:pStyle w:val="ListParagraph"/>
        <w:numPr>
          <w:ilvl w:val="0"/>
          <w:numId w:val="1"/>
        </w:numPr>
        <w:spacing w:after="80"/>
      </w:pPr>
      <w:r>
        <w:rPr>
          <w:rFonts w:ascii="Calibri" w:cs="Calibri" w:eastAsia="Calibri" w:hAnsi="Calibri"/>
          <w:sz w:val="22"/>
          <w:szCs w:val="22"/>
        </w:rPr>
        <w:t xml:space="preserve">Het BSN van een nabestaande.</w:t>
      </w:r>
    </w:p>
    <w:p>
      <w:pPr>
        <w:pStyle w:val="ListParagraph"/>
        <w:numPr>
          <w:ilvl w:val="0"/>
          <w:numId w:val="1"/>
        </w:numPr>
        <w:spacing w:after="80"/>
      </w:pPr>
      <w:r>
        <w:rPr>
          <w:rFonts w:ascii="Calibri" w:cs="Calibri" w:eastAsia="Calibri" w:hAnsi="Calibri"/>
          <w:sz w:val="22"/>
          <w:szCs w:val="22"/>
        </w:rPr>
        <w:t xml:space="preserve">Een postcode op zichzelf (zonder de rest van het adres).</w:t>
      </w:r>
    </w:p>
    <w:p>
      <w:pPr>
        <w:pStyle w:val="ListParagraph"/>
        <w:numPr>
          <w:ilvl w:val="0"/>
          <w:numId w:val="1"/>
        </w:numPr>
        <w:spacing w:after="80"/>
      </w:pPr>
      <w:r>
        <w:rPr>
          <w:rFonts w:ascii="Calibri" w:cs="Calibri" w:eastAsia="Calibri" w:hAnsi="Calibri"/>
          <w:sz w:val="22"/>
          <w:szCs w:val="22"/>
        </w:rPr>
        <w:t xml:space="preserve">De maandelijkse uitkering van € 842,17.</w:t>
      </w:r>
    </w:p>
    <w:p>
      <w:pPr>
        <w:pStyle w:val="ListParagraph"/>
        <w:numPr>
          <w:ilvl w:val="0"/>
          <w:numId w:val="1"/>
        </w:numPr>
        <w:spacing w:after="80"/>
      </w:pPr>
      <w:r>
        <w:rPr>
          <w:rFonts w:ascii="Calibri" w:cs="Calibri" w:eastAsia="Calibri" w:hAnsi="Calibri"/>
          <w:sz w:val="22"/>
          <w:szCs w:val="22"/>
        </w:rPr>
        <w:t xml:space="preserve">De nabestaande zelf (mevrouw De Waard-Kuipers).</w:t>
      </w:r>
    </w:p>
    <w:p>
      <w:pPr>
        <w:pStyle w:val="ListParagraph"/>
        <w:numPr>
          <w:ilvl w:val="0"/>
          <w:numId w:val="1"/>
        </w:numPr>
        <w:spacing w:after="80"/>
      </w:pPr>
      <w:r>
        <w:rPr>
          <w:rFonts w:ascii="Calibri" w:cs="Calibri" w:eastAsia="Calibri" w:hAnsi="Calibri"/>
          <w:sz w:val="22"/>
          <w:szCs w:val="22"/>
        </w:rPr>
        <w:t xml:space="preserve">Een periode ("van 01-07-2025 tot onbepaalde tijd").</w:t>
      </w:r>
    </w:p>
    <w:p>
      <w:pPr>
        <w:pStyle w:val="ListParagraph"/>
        <w:numPr>
          <w:ilvl w:val="0"/>
          <w:numId w:val="1"/>
        </w:numPr>
        <w:spacing w:after="80"/>
      </w:pPr>
      <w:r>
        <w:rPr>
          <w:rFonts w:ascii="Calibri" w:cs="Calibri" w:eastAsia="Calibri" w:hAnsi="Calibri"/>
          <w:sz w:val="22"/>
          <w:szCs w:val="22"/>
        </w:rPr>
        <w:t xml:space="preserve">Het dossier 5216 als geheel.</w:t>
      </w:r>
    </w:p>
    <w:p>
      <w:pPr>
        <w:pStyle w:val="ListParagraph"/>
        <w:numPr>
          <w:ilvl w:val="0"/>
          <w:numId w:val="1"/>
        </w:numPr>
        <w:spacing w:after="80"/>
      </w:pPr>
      <w:r>
        <w:rPr>
          <w:rFonts w:ascii="Calibri" w:cs="Calibri" w:eastAsia="Calibri" w:hAnsi="Calibri"/>
          <w:sz w:val="22"/>
          <w:szCs w:val="22"/>
        </w:rPr>
        <w:t xml:space="preserve">Een telefoonnummer waarop een nabestaande te bereiken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Lees dossierstuk 5-A en 5-B (20 min)</w:t>
      </w:r>
    </w:p>
    <w:p>
      <w:pPr>
        <w:spacing w:after="140" w:line="300"/>
      </w:pPr>
      <w:r>
        <w:rPr>
          <w:rFonts w:ascii="Calibri" w:cs="Calibri" w:eastAsia="Calibri" w:hAnsi="Calibri"/>
          <w:b w:val="false"/>
          <w:bCs w:val="false"/>
          <w:i w:val="false"/>
          <w:iCs w:val="false"/>
          <w:sz w:val="22"/>
          <w:szCs w:val="22"/>
        </w:rPr>
        <w:t xml:space="preserve">a. Leg uit waarom de adreswijziging bij dossier 5216 een ander type verandering is dan de naamswijziging bij dossier 5217, ook al lijken beide op het eerste gezicht "een veld overschrijven". (Hint: kijk naar wat er met de identiteit van de nabestaande gebeurt in elk geval.)</w:t>
      </w:r>
    </w:p>
    <w:p>
      <w:pPr>
        <w:spacing w:after="140" w:line="300"/>
      </w:pPr>
      <w:r>
        <w:rPr>
          <w:rFonts w:ascii="Calibri" w:cs="Calibri" w:eastAsia="Calibri" w:hAnsi="Calibri"/>
          <w:b w:val="false"/>
          <w:bCs w:val="false"/>
          <w:i w:val="false"/>
          <w:iCs w:val="false"/>
          <w:sz w:val="22"/>
          <w:szCs w:val="22"/>
        </w:rPr>
        <w:t xml:space="preserve">b. De herberekening bij dossier 5216 levert een nieuw bedrag op: € 861,40 in plaats van € 842,17. Beargumenteer, met de vragen uit het objectkeuzeblad (reader §5.4), of dit "dezelfde vaststelling met een nieuw bedrag" is of "een nieuwe vaststelling".</w:t>
      </w:r>
    </w:p>
    <w:p>
      <w:pPr>
        <w:spacing w:after="140" w:line="300"/>
      </w:pPr>
      <w:r>
        <w:rPr>
          <w:rFonts w:ascii="Calibri" w:cs="Calibri" w:eastAsia="Calibri" w:hAnsi="Calibri"/>
          <w:b w:val="false"/>
          <w:bCs w:val="false"/>
          <w:i w:val="false"/>
          <w:iCs w:val="false"/>
          <w:sz w:val="22"/>
          <w:szCs w:val="22"/>
        </w:rPr>
        <w:t xml:space="preserve">c. Saïda's compliance-eis ("ik moet de vaststelling van destijds kunnen aanwijzen") pleit voor een bepaalde ontwerpkeuze bij de partnervaststelling. Welke, en waarom zou de tegenovergestelde keuze die eis onmogelijk maken?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Weerleg dossierstuk 5-C (15 min)</w:t>
      </w:r>
    </w:p>
    <w:p>
      <w:pPr>
        <w:spacing w:after="140" w:line="300"/>
      </w:pPr>
      <w:r>
        <w:rPr>
          <w:rFonts w:ascii="Calibri" w:cs="Calibri" w:eastAsia="Calibri" w:hAnsi="Calibri"/>
          <w:b w:val="false"/>
          <w:bCs w:val="false"/>
          <w:i w:val="false"/>
          <w:iCs w:val="false"/>
          <w:sz w:val="22"/>
          <w:szCs w:val="22"/>
        </w:rPr>
        <w:t xml:space="preserve">Rutgers eerdere aanname was: "alles met een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in de database is een entity." Leg uit waarom deze aanname niet klopt, met een concreet tegenvoorbeeld uit het Nabestaandenloket (een begrip dat in de polisadministratie waarschijnlijk een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heeft, maar in het domein een value object is — of omgekeerd: een begrip zonder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dat wél een entity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het objectkeuzeblad uit (25 min)</w:t>
      </w:r>
    </w:p>
    <w:p>
      <w:pPr>
        <w:spacing w:after="140" w:line="300"/>
      </w:pPr>
      <w:r>
        <w:rPr>
          <w:rFonts w:ascii="Calibri" w:cs="Calibri" w:eastAsia="Calibri" w:hAnsi="Calibri"/>
          <w:b w:val="false"/>
          <w:bCs w:val="false"/>
          <w:i w:val="false"/>
          <w:iCs w:val="false"/>
          <w:sz w:val="22"/>
          <w:szCs w:val="22"/>
        </w:rPr>
        <w:t xml:space="preserve">Kies één begrip uit dossier 5216 of 5217 dat nog niet in de reader is uitgewerkt (bijvoorbeeld: het franchisebedrag, de ingangsdatum van een herberekening, of de compliance-notitie van Saïda bij een besluit). Vul het volledige objectkeuzeblad in: alle vier de vragen met een korte onderbouwing,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Daan en Willemijn (30 min, tweetallen)</w:t>
      </w:r>
    </w:p>
    <w:p>
      <w:pPr>
        <w:spacing w:after="140" w:line="300"/>
      </w:pPr>
      <w:r>
        <w:rPr>
          <w:rFonts w:ascii="Calibri" w:cs="Calibri" w:eastAsia="Calibri" w:hAnsi="Calibri"/>
          <w:b w:val="false"/>
          <w:bCs w:val="false"/>
          <w:i w:val="false"/>
          <w:iCs w:val="false"/>
          <w:sz w:val="22"/>
          <w:szCs w:val="22"/>
        </w:rPr>
        <w:t xml:space="preserve">Eén van jullie is Daan, de ander is Willemijn. Willemijn beschrijft mondeling drie recente gebeurtenissen uit een fictief dossier 5218 (bedenk zelf details: een verhuizing, een bedragswijziging na een correctie, en een derde gebeurtenis naar keuze). Daan moet bij elke gebeurtenis hardop redeneren, met de vragen uit het objectkeuzeblad, of er een entity verandert, een nieuw value object ontstaat, of een nieuwe entity bijkomt — en dat aan Willemijn uitleggen zonder technisch jargon.</w:t>
      </w:r>
    </w:p>
    <w:p>
      <w:pPr>
        <w:spacing w:after="140" w:line="300"/>
      </w:pPr>
      <w:r>
        <w:rPr>
          <w:rFonts w:ascii="Calibri" w:cs="Calibri" w:eastAsia="Calibri" w:hAnsi="Calibri"/>
          <w:b w:val="false"/>
          <w:bCs w:val="false"/>
          <w:i w:val="false"/>
          <w:iCs w:val="false"/>
          <w:sz w:val="22"/>
          <w:szCs w:val="22"/>
        </w:rPr>
        <w:t xml:space="preserve">Wissel daarna van rol. Bespreek na afloop: bij welke gebeurtenis was de keuze het minst vanzelfsprekend, en welke vraag uit het objectkeuzeblad gaf uiteindelijk de doorslag?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Terug naar deel 4 (20 min, plenair)</w:t>
      </w:r>
    </w:p>
    <w:p>
      <w:pPr>
        <w:spacing w:after="140" w:line="300"/>
      </w:pPr>
      <w:r>
        <w:rPr>
          <w:rFonts w:ascii="Calibri" w:cs="Calibri" w:eastAsia="Calibri" w:hAnsi="Calibri"/>
          <w:b w:val="false"/>
          <w:bCs w:val="false"/>
          <w:i w:val="false"/>
          <w:iCs w:val="false"/>
          <w:sz w:val="22"/>
          <w:szCs w:val="22"/>
        </w:rPr>
        <w:t xml:space="preserve">In deel 4 leerde het team de modeltoets: is een modelfragment nog de kaart, of al het terrein? Bespreek gezamenlijk: op welke manier is de valkuil uit dossierstuk 5-C ("alles met een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is een entity") een specifiek geval van de valkuil uit deel 4 ("een model dat stiekem al de implementatie is")? Formuleer in maximaal vier zinnen hoe de modeltoets en het objectkeuzeblad elkaar aanvullen.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**Entity** (met een sterk identificerend kenmerk): het BSN identificeert een specifieke deelnemer of nabestaande; twee mensen met "toevallig" hetzelfde BSN bestaan per definitie niet, en dat is precies waarom het als identificerend kenmerk dient.</w:t>
      </w:r>
    </w:p>
    <w:p>
      <w:pPr>
        <w:pStyle w:val="ListParagraph"/>
        <w:numPr>
          <w:ilvl w:val="0"/>
          <w:numId w:val="1"/>
        </w:numPr>
        <w:spacing w:after="80"/>
      </w:pPr>
      <w:r>
        <w:rPr>
          <w:rFonts w:ascii="Calibri" w:cs="Calibri" w:eastAsia="Calibri" w:hAnsi="Calibri"/>
          <w:sz w:val="22"/>
          <w:szCs w:val="22"/>
        </w:rPr>
        <w:t xml:space="preserve">**Value object**: een postcode is volledig bepaald door zijn tekenreeks; twee keer dezelfde postcode is gewoon dezelfde postcode.</w:t>
      </w:r>
    </w:p>
    <w:p>
      <w:pPr>
        <w:pStyle w:val="ListParagraph"/>
        <w:numPr>
          <w:ilvl w:val="0"/>
          <w:numId w:val="1"/>
        </w:numPr>
        <w:spacing w:after="80"/>
      </w:pPr>
      <w:r>
        <w:rPr>
          <w:rFonts w:ascii="Calibri" w:cs="Calibri" w:eastAsia="Calibri" w:hAnsi="Calibri"/>
          <w:sz w:val="22"/>
          <w:szCs w:val="22"/>
        </w:rPr>
        <w:t xml:space="preserve">**Value object**: € 842,17 is € 842,17, waar het ook vandaan komt; er is geen zinvol "welk exemplaar van dit bedrag bedoel je".</w:t>
      </w:r>
    </w:p>
    <w:p>
      <w:pPr>
        <w:pStyle w:val="ListParagraph"/>
        <w:numPr>
          <w:ilvl w:val="0"/>
          <w:numId w:val="1"/>
        </w:numPr>
        <w:spacing w:after="80"/>
      </w:pPr>
      <w:r>
        <w:rPr>
          <w:rFonts w:ascii="Calibri" w:cs="Calibri" w:eastAsia="Calibri" w:hAnsi="Calibri"/>
          <w:sz w:val="22"/>
          <w:szCs w:val="22"/>
        </w:rPr>
        <w:t xml:space="preserve">**Entity**: de nabestaande blijft dezelfde persoon door naams- en adreswijzigingen heen, zoals dossier 5217 laat zien.</w:t>
      </w:r>
    </w:p>
    <w:p>
      <w:pPr>
        <w:pStyle w:val="ListParagraph"/>
        <w:numPr>
          <w:ilvl w:val="0"/>
          <w:numId w:val="1"/>
        </w:numPr>
        <w:spacing w:after="80"/>
      </w:pPr>
      <w:r>
        <w:rPr>
          <w:rFonts w:ascii="Calibri" w:cs="Calibri" w:eastAsia="Calibri" w:hAnsi="Calibri"/>
          <w:sz w:val="22"/>
          <w:szCs w:val="22"/>
        </w:rPr>
        <w:t xml:space="preserve">**Value object**: een periode is volledig bepaald door begin- en einddatum; twee identieke periodes zijn gewoon dezelfde periode.</w:t>
      </w:r>
    </w:p>
    <w:p>
      <w:pPr>
        <w:pStyle w:val="ListParagraph"/>
        <w:numPr>
          <w:ilvl w:val="0"/>
          <w:numId w:val="1"/>
        </w:numPr>
        <w:spacing w:after="80"/>
      </w:pPr>
      <w:r>
        <w:rPr>
          <w:rFonts w:ascii="Calibri" w:cs="Calibri" w:eastAsia="Calibri" w:hAnsi="Calibri"/>
          <w:sz w:val="22"/>
          <w:szCs w:val="22"/>
        </w:rPr>
        <w:t xml:space="preserve">**Entity**: het dossier heeft een eigen dossiernummer en blijft, ook als de inhoud (bedragen, adressen) wijzigt, hetzelfde dossier.</w:t>
      </w:r>
    </w:p>
    <w:p>
      <w:pPr>
        <w:pStyle w:val="ListParagraph"/>
        <w:numPr>
          <w:ilvl w:val="0"/>
          <w:numId w:val="1"/>
        </w:numPr>
        <w:spacing w:after="80"/>
      </w:pPr>
      <w:r>
        <w:rPr>
          <w:rFonts w:ascii="Calibri" w:cs="Calibri" w:eastAsia="Calibri" w:hAnsi="Calibri"/>
          <w:sz w:val="22"/>
          <w:szCs w:val="22"/>
        </w:rPr>
        <w:t xml:space="preserve">**Value object** in de meeste domeinen, ook hier: een telefoonnummer is volledig bepaald door de cijfers; het "overschrijven" ervan levert een nieuw telefoonnummer-value-object op, gekoppeld aan dezelfde nabestaande-entity. (Onderbouwde afwijkende antwoorden, bijvoorbeeld als het team telefoonnummers zelf als traceerbare communicatiekanalen wil volgen, zijn bespreekbaar.)</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 Bij de adreswijziging blijft de identiteit van de nabestaande buiten kijf — er is nooit twijfel geweest over wíe er verhuisd is, alleen wáár ze nu woont. Bij de naamswijziging zou, zonder een stevig identificerend kenmerk zoals het BSN, de vraag kunnen ontstaan of "mevrouw Bosscha-Van Alst" nog dezelfde persoon is als "mevrouw Van Alst" — het bewijst juist waaróm een entity een identificerend kenmerk nodig heeft dat losstaat van naam of adres: zonder dat kenmerk zou een naamswijziging per ongeluk als een nieuwe persoon behandeld kunnen worden.</w:t>
      </w:r>
    </w:p>
    <w:p>
      <w:pPr>
        <w:spacing w:after="140" w:line="300"/>
      </w:pPr>
      <w:r>
        <w:rPr>
          <w:rFonts w:ascii="Calibri" w:cs="Calibri" w:eastAsia="Calibri" w:hAnsi="Calibri"/>
          <w:b w:val="false"/>
          <w:bCs w:val="false"/>
          <w:i w:val="false"/>
          <w:iCs w:val="false"/>
          <w:sz w:val="22"/>
          <w:szCs w:val="22"/>
        </w:rPr>
        <w:t xml:space="preserve">b. Volgens de vragen uit het objectkeuzeblad: is er een zinvolle vraag "is dit nog dezelfde vaststelling na wijziging"? Ja — de herberekening ontstaat niet uit het niets, maar is een nieuw besluit met een eigen datum (11-06-2025) en een eigen ingangsdatum (01-07-2025), dat naast het oude besluit blijft bestaan in het logboek. Dat pleit voor: een nieuwe vaststelling, niet een aangepast bedrag in de bestaande vaststelling.</w:t>
      </w:r>
    </w:p>
    <w:p>
      <w:pPr>
        <w:spacing w:after="140" w:line="300"/>
      </w:pPr>
      <w:r>
        <w:rPr>
          <w:rFonts w:ascii="Calibri" w:cs="Calibri" w:eastAsia="Calibri" w:hAnsi="Calibri"/>
          <w:b w:val="false"/>
          <w:bCs w:val="false"/>
          <w:i w:val="false"/>
          <w:iCs w:val="false"/>
          <w:sz w:val="22"/>
          <w:szCs w:val="22"/>
        </w:rPr>
        <w:t xml:space="preserve">c. Saïda's eis pleit voor het behandelen van de partnervaststelling als entity waarbij elk besluit een eigen, blijvend record wordt dat nooit wordt overschreven — een nieuwe berekening levert een nieuwe vaststelling op, niet een bijgewerkt bedrag in de oude. De tegenovergestelde keuze (het bedrag in de bestaande vaststelling simpelweg overschrijven, zoals bij het adres) zou het oude bedrag onherroepelijk laten verdwijnen, waardoor Saïda bij een bezwaar tegen een besluit van een jaar geleden niets meer kan aanwijzen — precies het probleem dat ze in dossierstuk 5-B benoemt.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De aanname klopt niet omdat een primaire sleutel in een database een technische noodzaak is (elke rij in een relationele database heeft doorgaans een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nodig om rijen te kunnen koppelen en opzoeken), geen domeinuitspraak. Een concreet tegenvoorbeeld: het adres heeft in de polisadministratie zeer waarschijnlijk een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-kolom in een tabel </w:t>
      </w:r>
      <w:r>
        <w:rPr>
          <w:rFonts w:ascii="Calibri" w:cs="Calibri" w:eastAsia="Calibri" w:hAnsi="Calibri"/>
          <w:b w:val="false"/>
          <w:bCs w:val="false"/>
          <w:i w:val="false"/>
          <w:iCs w:val="false"/>
          <w:sz w:val="22"/>
          <w:szCs w:val="22"/>
        </w:rPr>
        <w:t xml:space="preserve">ADRES</w:t>
      </w:r>
      <w:r>
        <w:rPr>
          <w:rFonts w:ascii="Calibri" w:cs="Calibri" w:eastAsia="Calibri" w:hAnsi="Calibri"/>
          <w:b w:val="false"/>
          <w:bCs w:val="false"/>
          <w:i w:val="false"/>
          <w:iCs w:val="false"/>
          <w:sz w:val="22"/>
          <w:szCs w:val="22"/>
        </w:rPr>
        <w:t xml:space="preserve"> — puur omdat de database een adresrij ergens moet kunnen opslaan en aan een dossier koppelen — terwijl het adres in het domein, zoals de reader laat zien, een value object is: er is geen zinvolle identiteit die losstaat van straat, huisnummer en postcode. Omgekeerd: het BSN heeft in de polisadministratie mogelijk géén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-kolom (het staat gewoon als tekstveld in de tabel </w:t>
      </w:r>
      <w:r>
        <w:rPr>
          <w:rFonts w:ascii="Calibri" w:cs="Calibri" w:eastAsia="Calibri" w:hAnsi="Calibri"/>
          <w:b w:val="false"/>
          <w:bCs w:val="false"/>
          <w:i w:val="false"/>
          <w:iCs w:val="false"/>
          <w:sz w:val="22"/>
          <w:szCs w:val="22"/>
        </w:rPr>
        <w:t xml:space="preserve">DEELNEMER</w:t>
      </w:r>
      <w:r>
        <w:rPr>
          <w:rFonts w:ascii="Calibri" w:cs="Calibri" w:eastAsia="Calibri" w:hAnsi="Calibri"/>
          <w:b w:val="false"/>
          <w:bCs w:val="false"/>
          <w:i w:val="false"/>
          <w:iCs w:val="false"/>
          <w:sz w:val="22"/>
          <w:szCs w:val="22"/>
        </w:rPr>
        <w:t xml:space="preserve">), en toch is het, in het domein, het krachtigste identificerende kenmerk dat er is. Techniek en domein volgen hier dus tegengestelde patronen — precies de reden waarom de "heeft het een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"-vuistregel niet werkt.</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Voorbeeldkeuze: het franchisebedrag dat bij de herberekening van dossier 5216 wordt gebruikt.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Zijn er twee exemplaren met identieke gegevens denkbaar die tóch verschillend moeten worden behandeld? Nee — twee keer hetzelfde franchisebedrag (bijvoorbeeld € 17.545 voor het jaar 2025) zijn gewoon hetzelfde bedrag, ongeacht in welke berekening het wordt gebruikt.
Is er een zinvolle vraag "is dit nog hetzelfde als voorheen, ook al is de inhoud gewijzigd"? Nee — zodra het franchisebedrag voor een nieuw jaar wordt vastgesteld, is het een ander, nieuw bedrag, geen aangepaste versie van het oude.
Wat identificeert dit begrip, als het een entity is? Niet van toepassing.
Wat gebeurt er als de inhoud wijzigt? Er ontstaat een nieuw franchisebedrag-value-object, dat door Beleid en Actuariaat wordt vastgesteld voor een nieuwe periode; het oude bedrag blijft relevant voor herberekeningen die vóór de wijziging plaatsvonden.
**Dat het verschil maakt:** als we het franchisebedrag als entity zouden behandelen — met een eigen identiteit die "bijgewerkt" wordt bij elke jaarwisseling — dan verliezen we het historische bedrag dat gold ten tijde van een oude berekening, en kan niemand een herberekening van twee jaar geleden nog reconstrueren met het toen geldende bedrag. Beleid en Actuariaat is degene die dat als eerste merkt, op het moment dat er een vraag komt over een oude berekening.</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De verhuizing levert meestal weinig discussie op: een duidelijk geval van "entity blijft, value object wordt vervangen".</w:t>
      </w:r>
    </w:p>
    <w:p>
      <w:pPr>
        <w:pStyle w:val="ListParagraph"/>
        <w:numPr>
          <w:ilvl w:val="0"/>
          <w:numId w:val="1"/>
        </w:numPr>
        <w:spacing w:after="80"/>
      </w:pPr>
      <w:r>
        <w:rPr>
          <w:rFonts w:ascii="Calibri" w:cs="Calibri" w:eastAsia="Calibri" w:hAnsi="Calibri"/>
          <w:sz w:val="22"/>
          <w:szCs w:val="22"/>
        </w:rPr>
        <w:t xml:space="preserve">De bedragswijziging na een correctie levert vaak dezelfde discussie op als bij de partnervaststelling in de reader: deelnemers moeten zich actief afvragen of er een spoor moet blijven bestaan van het oude bedrag, en komen dan vaak zelf uit bij "dus eigenlijk is dit ook een nieuwe entity, geen aangepaste waarde".</w:t>
      </w:r>
    </w:p>
    <w:p>
      <w:pPr>
        <w:pStyle w:val="ListParagraph"/>
        <w:numPr>
          <w:ilvl w:val="0"/>
          <w:numId w:val="1"/>
        </w:numPr>
        <w:spacing w:after="80"/>
      </w:pPr>
      <w:r>
        <w:rPr>
          <w:rFonts w:ascii="Calibri" w:cs="Calibri" w:eastAsia="Calibri" w:hAnsi="Calibri"/>
          <w:sz w:val="22"/>
          <w:szCs w:val="22"/>
        </w:rPr>
        <w:t xml:space="preserve">Een goed teken tijdens het gesprek: het moment waarop "Daan" expliciet benoemt wélke vraag uit het objectkeuzeblad de doorslag gaf, in plaats van alleen de conclusie te noemen.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kern: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"Alles met een `id` is een entity" is een specifiek geval van de bredere valkuil uit deel 4: het laten bepalen van een domeinkeuze door een technisch kenmerk in plaats van door een domeinvraag. In deel 4 was dat kenmerk de veldnamen en tabelstructuur van de bestaande polisadministratie; hier is het de aanwezigheid van een primaire sleutel. In beide gevallen wordt de vorm die de techniek toevallig heeft aangenomen, verward met wat het domein feitelijk vraagt. De modeltoets en het objectkeuzeblad vullen elkaar aan: de modeltoets bewaakt of een heel modelfragment nog de taal van het domein spreekt, het objectkeuzeblad zoomt daarbinnen in op de vraag of een specifiek begrip door identiteit of door waarde telt — allebei met dezelfde onderliggende tucht: vraag het domein, niet de database.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2026-08-16T19:17:59.254Z</dcterms:created>
  <dcterms:modified xsi:type="dcterms:W3CDTF">2026-08-16T19:17:59.254Z</dcterms:modified>
</cp:coreProperties>
</file>

<file path=docProps/custom.xml><?xml version="1.0" encoding="utf-8"?>
<Properties xmlns="http://schemas.openxmlformats.org/officeDocument/2006/custom-properties" xmlns:vt="http://schemas.openxmlformats.org/officeDocument/2006/docPropsVTypes"/>
</file>