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6 — Aggregate: de consistentiegrens</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6 is het deel waarin de bouwstenen uit deel 5 (entity, value object) voor het eerst tot een groter geheel worden samengevoegd. Het risico dat in de casus wordt geïllustreerd — twee onafhankelijke wijzigingen die elkaar per ongeluk overschrijven — is precies het probleem waar het aggregate een antwoord op geeft, en het is tegelijk het eerste deel waarin het team leert dat een grens te ruim óf te krap trekken allebei een reële, voelbare kostenpost heeft. Dit deel bepaalt mede hoe het team in deel 7 (domain events) en deel 9 (bounded context) verder gaat denken over grenzen: steeds is de vraag niet "wat hoort logisch bij elkaar", maar "wat moet gegarandeerd samen kloppen, en wat mag onafhankelijk blijven".</w:t>
      </w:r>
    </w:p>
    <w:p>
      <w:pPr>
        <w:pStyle w:val="ListParagraph"/>
        <w:numPr>
          <w:ilvl w:val="0"/>
          <w:numId w:val="1"/>
        </w:numPr>
        <w:spacing w:after="80"/>
      </w:pPr>
      <w:r>
        <w:rPr>
          <w:rFonts w:ascii="Calibri" w:cs="Calibri" w:eastAsia="Calibri" w:hAnsi="Calibri"/>
          <w:sz w:val="22"/>
          <w:szCs w:val="22"/>
        </w:rPr>
        <w:t xml:space="preserve">**Module-onderdeel:** rechtstreeks het curriculumonderdeel "aggregate" van de iSAQB Advanced-module DDD.</w:t>
      </w:r>
    </w:p>
    <w:p>
      <w:pPr>
        <w:pStyle w:val="ListParagraph"/>
        <w:numPr>
          <w:ilvl w:val="0"/>
          <w:numId w:val="1"/>
        </w:numPr>
        <w:spacing w:after="80"/>
      </w:pPr>
      <w:r>
        <w:rPr>
          <w:rFonts w:ascii="Calibri" w:cs="Calibri" w:eastAsia="Calibri" w:hAnsi="Calibri"/>
          <w:sz w:val="22"/>
          <w:szCs w:val="22"/>
        </w:rPr>
        <w:t xml:space="preserve">**Werkvorm:** de aggregaatschets.</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5 afgerond, objectkeuzeblad uit deel 5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5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een aggregate is; de casus van Corné's incident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wat ging er mis,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Rutgers eerste voorstel weerleggen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aggregaatschets: de vier vragen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wie wordt de root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aggregaatschets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terug naar deel 5,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7</w:t>
            </w:r>
          </w:p>
        </w:tc>
      </w:tr>
    </w:tbl>
    <w:p>
      <w:pPr>
        <w:spacing w:after="140" w:line="300"/>
      </w:pPr>
      <w:r>
        <w:rPr>
          <w:rFonts w:ascii="Calibri" w:cs="Calibri" w:eastAsia="Calibri" w:hAnsi="Calibri"/>
          <w:b w:val="false"/>
          <w:bCs w:val="false"/>
          <w:i w:val="false"/>
          <w:iCs w:val="false"/>
          <w:sz w:val="22"/>
          <w:szCs w:val="22"/>
        </w:rPr>
        <w:t xml:space="preserve">Loop je uit, dan schrap je opdracht 3 en verwerk je de kernvraag ("waarom kan niet elke entity de root zijn") mondeling bij de introductie van de aggregaatschets. Schrap nooit opdracht 5: het rollenspel is het enige onderdeel waarin deelnemers moeten oefenen om een aggregaatgrens te verdedigen tegen een intuïtief, maar verkeerd, tegenvoorstel — precies de vaardigheid die in een echte modelleersessie het vaakst nodig is.</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aggregate.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*"Twee medewerkers werken tegelijk aan hetzelfde dossier: de een verwerkt een adreswijziging, de ander een bedragscorrectie. Beide wijzigingen zijn op zichzelf correct. Toch gaat er iets mis. Wat, denk je, en hoe zou je dat voorkomen — door de twee medewerkers te laten wachten op elkaar, of door iets anders?"*</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Veelvoorkomende antwoorden: "ze moeten om de beurt werken", "het systeem moet een waarschuwing geven", "alles moet in één groot record". Bewaar de flap: aan het eind van dit deel kom je terug op de vraag welke van deze antwoorden de consistentie oplossen zonder de bruikbaarheid op te offeren.</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een aggregate is (0:15-0:45).</w:t>
      </w:r>
      <w:r>
        <w:rPr>
          <w:rFonts w:ascii="Calibri" w:cs="Calibri" w:eastAsia="Calibri" w:hAnsi="Calibri"/>
          <w:b w:val="false"/>
          <w:bCs w:val="false"/>
          <w:i w:val="false"/>
          <w:iCs w:val="false"/>
          <w:sz w:val="22"/>
          <w:szCs w:val="22"/>
        </w:rPr>
        <w:t xml:space="preserve"> Vermijd de valkuil om aggregate meteen te introduceren als "een groepje objecten dat bij elkaar hoort" — dat is precies de denkfout (Rutgers eerste voorstel) die dit deel wil corrigeren. Begin in plaats daarvan met Saïda's vraag uit de reader (§6.2 en §6.3): welke wijzigingen moeten gegarandeerd samen kloppen? Laat die vraag het hele deel dragen.</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voordat je de reader-analyse voorleest, zelf reconstrueren wat er in dossierstuk 6-A precies fout ging op basis van de tijdlijn. De meeste groepen komen zelf tot "de twee wijzigingen overschreven elkaar" — bouw daarop voort met de vraag "waaróm kon dat gebeuren", en leid van daaruit naar het begrip aggregate.</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Vraag c is de belangrijkste: laat deelnemers expliciet het onderscheid maken tussen "dit had voorkomen kunnen worden door een grotere aggregate" (adres+bedrag, fout) en "dit hóórt binnen dezelfde aggregate" (bedrag+onderbouwing, juist). Dat onderscheid is precies waar deelnemers na deze casus het vaakst in de fout gaan: ze trekken de conclusie "dus alles moet samen", terwijl het incident juist laat zien dat het probleem elders zat (de opslagmethode, niet de aggregategrootte).</w:t>
      </w:r>
    </w:p>
    <w:p>
      <w:pPr>
        <w:spacing w:after="140" w:line="300"/>
      </w:pPr>
      <w:r>
        <w:rPr>
          <w:rFonts w:ascii="Calibri" w:cs="Calibri" w:eastAsia="Calibri" w:hAnsi="Calibri"/>
          <w:b/>
          <w:bCs/>
          <w:i w:val="false"/>
          <w:iCs w:val="false"/>
          <w:sz w:val="22"/>
          <w:szCs w:val="22"/>
        </w:rPr>
        <w:t xml:space="preserve">Opdracht 2.</w:t>
      </w:r>
      <w:r>
        <w:rPr>
          <w:rFonts w:ascii="Calibri" w:cs="Calibri" w:eastAsia="Calibri" w:hAnsi="Calibri"/>
          <w:b w:val="false"/>
          <w:bCs w:val="false"/>
          <w:i w:val="false"/>
          <w:iCs w:val="false"/>
          <w:sz w:val="22"/>
          <w:szCs w:val="22"/>
        </w:rPr>
        <w:t xml:space="preserve"> Rutgers voorstel is aantrekkelijk omdat het "veilig" aanvoelt. Laat deelnemers concreet maken wat er in de praktijk van Nabestaandenzaken (dertig medewerkers, veel gelijktijdig werk) zou gebeuren als dit voorstel was doorgevoerd, in plaats van het bij een abstract "dat wordt onhandig" te laten.</w:t>
      </w:r>
    </w:p>
    <w:p>
      <w:pPr>
        <w:spacing w:after="140" w:line="300"/>
      </w:pPr>
      <w:r>
        <w:rPr>
          <w:rFonts w:ascii="Calibri" w:cs="Calibri" w:eastAsia="Calibri" w:hAnsi="Calibri"/>
          <w:b/>
          <w:bCs/>
          <w:i w:val="false"/>
          <w:iCs w:val="false"/>
          <w:sz w:val="22"/>
          <w:szCs w:val="22"/>
        </w:rPr>
        <w:t xml:space="preserve">De aggregaatschets (1:40-1:55).</w:t>
      </w:r>
      <w:r>
        <w:rPr>
          <w:rFonts w:ascii="Calibri" w:cs="Calibri" w:eastAsia="Calibri" w:hAnsi="Calibri"/>
          <w:b w:val="false"/>
          <w:bCs w:val="false"/>
          <w:i w:val="false"/>
          <w:iCs w:val="false"/>
          <w:sz w:val="22"/>
          <w:szCs w:val="22"/>
        </w:rPr>
        <w:t xml:space="preserve"> Benoem uitdrukkelijk dat het vijfde, afsluitende veld hetzelfde terugkerende patroon volgt als de eerdere instrumenten uit deel 1, 2, 4 en 5. Besteed relatief veel tijd aan de tweede vraag ("welke wijzigingen moeten gegarandeerd samen kloppen") — dit is de vraag die de hele grens bepaalt, en die het meest oefening vraagt.</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Dit is de plek waar de rol van de aggregate root het scherpst wordt. Laat deelnemers, als ze een andere kandidaat dan de partnervaststelling bedenken, alsnog concreet maken waaraan het misgaat — niet elke andere kandidaat hoeft dezelfde reden te hebben als in de uitwerking.</w:t>
      </w:r>
    </w:p>
    <w:p>
      <w:pPr>
        <w:spacing w:after="140" w:line="300"/>
      </w:pPr>
      <w:r>
        <w:rPr>
          <w:rFonts w:ascii="Calibri" w:cs="Calibri" w:eastAsia="Calibri" w:hAnsi="Calibri"/>
          <w:b/>
          <w:bCs/>
          <w:i w:val="false"/>
          <w:iCs w:val="false"/>
          <w:sz w:val="22"/>
          <w:szCs w:val="22"/>
        </w:rPr>
        <w:t xml:space="preserve">Opdracht 4.</w:t>
      </w:r>
      <w:r>
        <w:rPr>
          <w:rFonts w:ascii="Calibri" w:cs="Calibri" w:eastAsia="Calibri" w:hAnsi="Calibri"/>
          <w:b w:val="false"/>
          <w:bCs w:val="false"/>
          <w:i w:val="false"/>
          <w:iCs w:val="false"/>
          <w:sz w:val="22"/>
          <w:szCs w:val="22"/>
        </w:rPr>
        <w:t xml:space="preserve"> Laat deelnemers hun ingevulde aggregaatschets voorlezen. Let specifiek op de derde vraag (wie wordt de root) — deelnemers kiezen hier vaak impulsief het "belangrijkste" object in plaats van het object dat de identiteit van het geheel draagt. Stuur bij met: "als iemand van buiten dit cluster wil aanspreken, met welk kenmerk zou die persoon dat doen?"</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Twee aanwijzingen:</w:t>
      </w:r>
    </w:p>
    <w:p>
      <w:pPr>
        <w:pStyle w:val="ListParagraph"/>
        <w:numPr>
          <w:ilvl w:val="0"/>
          <w:numId w:val="1"/>
        </w:numPr>
        <w:spacing w:after="80"/>
      </w:pPr>
      <w:r>
        <w:rPr>
          <w:rFonts w:ascii="Calibri" w:cs="Calibri" w:eastAsia="Calibri" w:hAnsi="Calibri"/>
          <w:sz w:val="22"/>
          <w:szCs w:val="22"/>
        </w:rPr>
        <w:t xml:space="preserve">Laat "Corné" zijn angst voor een nieuw incident serieus spelen, niet als stroman — dat maakt het voor "Willemijn" moeilijker en realistischer om het onderscheid tussen "aggregategrootte" en "andere oorzaak" scherp te krijgen.</w:t>
      </w:r>
    </w:p>
    <w:p>
      <w:pPr>
        <w:pStyle w:val="ListParagraph"/>
        <w:numPr>
          <w:ilvl w:val="0"/>
          <w:numId w:val="1"/>
        </w:numPr>
        <w:spacing w:after="80"/>
      </w:pPr>
      <w:r>
        <w:rPr>
          <w:rFonts w:ascii="Calibri" w:cs="Calibri" w:eastAsia="Calibri" w:hAnsi="Calibri"/>
          <w:sz w:val="22"/>
          <w:szCs w:val="22"/>
        </w:rPr>
        <w:t xml:space="preserve">Grijp niet in als "Willemijn" er niet meteen uitkomt. Laat de nabespreking dat blootleggen: vraag welk argument uit de reader ze hadden kunnen gebruiken maar vergaten.</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kern: een aggregate zonder root-entity zou geen stabiel aanspreekpunt hebben. Als de groep dit lastig vindt te verwoorden, vraag dan: "als het adres — een value object — de root zou zijn, hoe zou je dan, na een verhuizing, nog weten dat het om 'hetzelfde' aggregate gaat?"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"Aggregate = alles wat logisch bij elkaar hoort"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meest voorkomende denkfout in dit 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Saïda's vraag: niet "hoort bij elkaar", maar "moet gegarandeerd samen kloppen"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Aggregate wordt zo groot mogelijk gemaakt "voor de 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Angst voor een nieuw Corné-incident, zonder de kostenpost (blokkerende wijzigingen) mee te wegen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 concreet maken wie er dan op wie moet wachten, en hoe vaak dat in de praktijk voorkomt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Aggregate wordt zo klein gemaakt dat er geen enkele garantie meer bestaat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Overcorrectie na het zien van de "te groot"-valkuil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bedrag+onderbouwing: sommige dingen horen wél gegarandeerd samen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Root wordt gekozen op basis van "belangrijkheid" in plaats van identiteit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gewicht van een object en zijn rol als aanspreekpunt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"met welk kenmerk zou iemand van buiten dit cluster aanspreken?"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wordt lastig")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moet op wie wachten, en in welke concrete situatie?"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6 wordt niet becijferd. Wel houd je per deelnemer bij of de aggregaatschets uit opdracht 4 aan drie eisen voldoet; dat is het zesde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elk paar objecten is expliciet getoetst op de vraag "moet dit gegarandeerd samen kloppen"; de root is onderbouwd met een concreet argument, niet met "dit voelt belangrijk";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6, inclusief dossierstukken 6-A, 6-B en 6-C</w:t>
      </w:r>
    </w:p>
    <w:p>
      <w:pPr>
        <w:pStyle w:val="ListParagraph"/>
        <w:numPr>
          <w:ilvl w:val="0"/>
          <w:numId w:val="1"/>
        </w:numPr>
        <w:spacing w:after="80"/>
      </w:pPr>
      <w:r>
        <w:rPr>
          <w:rFonts w:ascii="Calibri" w:cs="Calibri" w:eastAsia="Calibri" w:hAnsi="Calibri"/>
          <w:sz w:val="22"/>
          <w:szCs w:val="22"/>
        </w:rPr>
        <w:t xml:space="preserve">Slidedeck deel 6</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aggregaatschets-invulbladen, minstens drie per deelnemer</w:t>
      </w:r>
    </w:p>
    <w:p>
      <w:pPr>
        <w:pStyle w:val="ListParagraph"/>
        <w:numPr>
          <w:ilvl w:val="0"/>
          <w:numId w:val="1"/>
        </w:numPr>
        <w:spacing w:after="80"/>
      </w:pPr>
      <w:r>
        <w:rPr>
          <w:rFonts w:ascii="Calibri" w:cs="Calibri" w:eastAsia="Calibri" w:hAnsi="Calibri"/>
          <w:sz w:val="22"/>
          <w:szCs w:val="22"/>
        </w:rPr>
        <w:t xml:space="preserve">Objectkeuzeblad van de deelnemer uit deel 5, voor de vergelijking in opdracht 6</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"Aggregate" staat letterlijk in de tactische bouwstenenreeks van het officiële curriculum van de iSAQB Advanced-module DDD, direct na entity en value object. Dit deel is dus kernstof.</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soms of "consistentiegrens" een letterlijke examenformulering is. Dat is het niet als exacte term, maar het onderliggende idee — een aggregate garandeert invarianten binnen zijn grens — is wel degelijk kernstof. Zeg dat er gerust bij: de formulering is een eigen Ductus-hulpmiddel om de kern te leren toepassen.</w:t>
      </w:r>
    </w:p>
    <w:p>
      <w:pPr>
        <w:pStyle w:val="ListParagraph"/>
        <w:numPr>
          <w:ilvl w:val="0"/>
          <w:numId w:val="1"/>
        </w:numPr>
        <w:spacing w:after="80"/>
      </w:pPr>
      <w:r>
        <w:rPr>
          <w:rFonts w:ascii="Calibri" w:cs="Calibri" w:eastAsia="Calibri" w:hAnsi="Calibri"/>
          <w:sz w:val="22"/>
          <w:szCs w:val="22"/>
        </w:rPr>
        <w:t xml:space="preserve">In niveau 2, deel 18, komt de aggregate terug op landschapschaal: consistentiegrenzen bij meerdere teams, met een kort kader over hoe dit doorwerkt in event-sourced implementaties. Dat is nu nog niet aan de orde — vermeld het als vooruitblik als een deelnemer ernaar vraagt, maar behandel het hier niet.</w:t>
      </w:r>
    </w:p>
    <w:p>
      <w:pPr>
        <w:pStyle w:val="ListParagraph"/>
        <w:numPr>
          <w:ilvl w:val="0"/>
          <w:numId w:val="1"/>
        </w:numPr>
        <w:spacing w:after="80"/>
      </w:pPr>
      <w:r>
        <w:rPr>
          <w:rFonts w:ascii="Calibri" w:cs="Calibri" w:eastAsia="Calibri" w:hAnsi="Calibri"/>
          <w:sz w:val="22"/>
          <w:szCs w:val="22"/>
        </w:rPr>
        <w:t xml:space="preserve">Vanaf deel 7 leert het team hoe je vastlegt wát er binnen een aggregate is gebeurd, als een onveranderlijk feit. Benoem uitdrukkelijk dat dat een vervolgvraag is op dit deel: het aggregate bewaakt de consistentie van de huidige toestand, het domain event legt vast hoe die toestand tot stand is gekomen.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2026-08-16T19:17:59.406Z</dcterms:created>
  <dcterms:modified xsi:type="dcterms:W3CDTF">2026-08-16T19:17:59.406Z</dcterms:modified>
</cp:coreProperties>
</file>

<file path=docProps/custom.xml><?xml version="1.0" encoding="utf-8"?>
<Properties xmlns="http://schemas.openxmlformats.org/officeDocument/2006/custom-properties" xmlns:vt="http://schemas.openxmlformats.org/officeDocument/2006/docPropsVTypes"/>
</file>