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6 — Aggregate: de consistentiegrens</w:t>
      </w:r>
    </w:p>
    <w:p>
      <w:pPr>
        <w:spacing w:after="140" w:line="300"/>
      </w:pPr>
      <w:r>
        <w:rPr>
          <w:rFonts w:ascii="Calibri" w:cs="Calibri" w:eastAsia="Calibri" w:hAnsi="Calibri"/>
          <w:b w:val="false"/>
          <w:bCs w:val="false"/>
          <w:i w:val="false"/>
          <w:iCs w:val="false"/>
          <w:sz w:val="22"/>
          <w:szCs w:val="22"/>
        </w:rPr>
        <w:t xml:space="preserve">Werkboek · Ductus-cursus Domain-Driven Design · niveau 1 · deel 6 van 30</w:t>
      </w:r>
    </w:p>
    <w:p>
      <w:pPr>
        <w:spacing w:after="140" w:line="300"/>
      </w:pPr>
      <w:r>
        <w:rPr>
          <w:rFonts w:ascii="Calibri" w:cs="Calibri" w:eastAsia="Calibri" w:hAnsi="Calibri"/>
          <w:b w:val="false"/>
          <w:bCs w:val="false"/>
          <w:i w:val="false"/>
          <w:iCs w:val="false"/>
          <w:sz w:val="22"/>
          <w:szCs w:val="22"/>
        </w:rPr>
        <w:t xml:space="preserve">Zes opdrachten, samen ongeveer een dagdeel. Opdracht 1 tot en met 4 zijn individueel, opdracht 5 in tweetallen, opdracht 6 plenair. De uitwerkingen staan achterin; werk een opdracht af voordat je die leest.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6-A — Corné's incident (reconstructie)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09:14 — Medewerker A opent dossier 8830 om een binnengekomen adreswijziging te verwerken.
09:16 — Medewerker B opent, onafhankelijk, hetzelfde dossier 8830 om de uitkomst van Saïda's compliance-check te verwerken: het bedrag van de vaststelling wordt bijgesteld van € 512,40 naar € 498,15, met als reden een correctie op het meegewogen bijzonder partnerpensioen.
09:18 — Medewerker A slaat de adreswijziging op.
09:19 — Medewerker B slaat de bedragswijziging op. De opslag overschrijft het volledige dossierrecord, inclusief het oude adres — de adreswijziging van Medewerker A is verdwenen.
09:41 — Een brief wordt automatisch gegenereerd en verstuurd naar het oude adres.</w:t>
            </w:r>
          </w:p>
        </w:tc>
      </w:tr>
    </w:tbl>
    <w:p>
      <w:pPr>
        <w:pStyle w:val="Heading2"/>
        <w:spacing w:after="120" w:before="200"/>
      </w:pPr>
      <w:r>
        <w:rPr>
          <w:rFonts w:ascii="Georgia" w:cs="Georgia" w:eastAsia="Georgia" w:hAnsi="Georgia"/>
          <w:b/>
          <w:bCs/>
          <w:color w:val="2C5AA0"/>
          <w:sz w:val="28"/>
          <w:szCs w:val="28"/>
        </w:rPr>
        <w:t xml:space="preserve">Dossierstuk 6-B — Saïda's toets</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vraag is niet 'wat hoort er allemaal bij het dossier'. De vraag is: welke dingen moeten, op het moment dat er iets verandert, altíjd tegelijk kloppen — en welke dingen mogen best een paar seconden, of een paar uur, uit de pas lopen zonder dat het een probleem is?"</w:t>
            </w:r>
          </w:p>
        </w:tc>
      </w:tr>
    </w:tbl>
    <w:p>
      <w:pPr>
        <w:pStyle w:val="Heading2"/>
        <w:spacing w:after="120" w:before="200"/>
      </w:pPr>
      <w:r>
        <w:rPr>
          <w:rFonts w:ascii="Georgia" w:cs="Georgia" w:eastAsia="Georgia" w:hAnsi="Georgia"/>
          <w:b/>
          <w:bCs/>
          <w:color w:val="2C5AA0"/>
          <w:sz w:val="28"/>
          <w:szCs w:val="28"/>
        </w:rPr>
        <w:t xml:space="preserve">Dossierstuk 6-C — Rutgers eerste voorstel (verworpen in de sessie)</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"Laten we van het hele dossier één groot record maken: nabestaande, adres, vaststelling, onderbouwing, alle correspondentie, alle compliance-notities. Dan kan dit nooit meer gebeuren, want er is maar één ding om op te slaan."</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Wat ging er mis? (15 min)</w:t>
      </w:r>
    </w:p>
    <w:p>
      <w:pPr>
        <w:spacing w:after="140" w:line="300"/>
      </w:pPr>
      <w:r>
        <w:rPr>
          <w:rFonts w:ascii="Calibri" w:cs="Calibri" w:eastAsia="Calibri" w:hAnsi="Calibri"/>
          <w:b w:val="false"/>
          <w:bCs w:val="false"/>
          <w:i w:val="false"/>
          <w:iCs w:val="false"/>
          <w:sz w:val="22"/>
          <w:szCs w:val="22"/>
        </w:rPr>
        <w:t xml:space="preserve">Lees dossierstuk 6-A. Beantwoord:</w:t>
      </w:r>
    </w:p>
    <w:p>
      <w:pPr>
        <w:spacing w:after="140" w:line="300"/>
      </w:pPr>
      <w:r>
        <w:rPr>
          <w:rFonts w:ascii="Calibri" w:cs="Calibri" w:eastAsia="Calibri" w:hAnsi="Calibri"/>
          <w:b w:val="false"/>
          <w:bCs w:val="false"/>
          <w:i w:val="false"/>
          <w:iCs w:val="false"/>
          <w:sz w:val="22"/>
          <w:szCs w:val="22"/>
        </w:rPr>
        <w:t xml:space="preserve">a. Wat is hier, in termen van deel 5 (entity/value object), precies gebeurd? Welke twee entity's of value objects werden onafhankelijk van elkaar gewijzigd, terwijl ze eigenlijk niet onafhankelijk hadden mogen worden opgeslagen?</w:t>
      </w:r>
    </w:p>
    <w:p>
      <w:pPr>
        <w:spacing w:after="140" w:line="300"/>
      </w:pPr>
      <w:r>
        <w:rPr>
          <w:rFonts w:ascii="Calibri" w:cs="Calibri" w:eastAsia="Calibri" w:hAnsi="Calibri"/>
          <w:b w:val="false"/>
          <w:bCs w:val="false"/>
          <w:i w:val="false"/>
          <w:iCs w:val="false"/>
          <w:sz w:val="22"/>
          <w:szCs w:val="22"/>
        </w:rPr>
        <w:t xml:space="preserve">b. Zou dit incident zijn voorkomen als het adres en het bedrag van de vaststelling binnen dezelfde aggregate hadden gezeten? Onderbouw met de vraag uit dossierstuk 6-B.</w:t>
      </w:r>
    </w:p>
    <w:p>
      <w:pPr>
        <w:spacing w:after="140" w:line="300"/>
      </w:pPr>
      <w:r>
        <w:rPr>
          <w:rFonts w:ascii="Calibri" w:cs="Calibri" w:eastAsia="Calibri" w:hAnsi="Calibri"/>
          <w:b w:val="false"/>
          <w:bCs w:val="false"/>
          <w:i w:val="false"/>
          <w:iCs w:val="false"/>
          <w:sz w:val="22"/>
          <w:szCs w:val="22"/>
        </w:rPr>
        <w:t xml:space="preserve">c. Is er, volgens diezelfde vraag, wél een reden om aan te nemen dat het bedrag en de onderbouwing van de vaststelling binnen dezelfde aggregate moeten zitten? Leg uit.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Weerleg Rutgers eerste voorstel (20 min)</w:t>
      </w:r>
    </w:p>
    <w:p>
      <w:pPr>
        <w:spacing w:after="140" w:line="300"/>
      </w:pPr>
      <w:r>
        <w:rPr>
          <w:rFonts w:ascii="Calibri" w:cs="Calibri" w:eastAsia="Calibri" w:hAnsi="Calibri"/>
          <w:b w:val="false"/>
          <w:bCs w:val="false"/>
          <w:i w:val="false"/>
          <w:iCs w:val="false"/>
          <w:sz w:val="22"/>
          <w:szCs w:val="22"/>
        </w:rPr>
        <w:t xml:space="preserve">Rutger stelt in dossierstuk 6-C voor om alles in één grote aggregate onder te brengen. Beschrijf twee concrete, praktische problemen die zouden ontstaan bij Nabestaandenzaken als dit voorstel was doorgevoerd. Gebruik de twee denkfouten uit de reader (§6.3: "te groot" en "te klein") als kapstok, maar formuleer de problemen in je eigen woorden en met een concrete situatie uit het Nabestaandenloket.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Wie wordt de root? (15 min)</w:t>
      </w:r>
    </w:p>
    <w:p>
      <w:pPr>
        <w:spacing w:after="140" w:line="300"/>
      </w:pPr>
      <w:r>
        <w:rPr>
          <w:rFonts w:ascii="Calibri" w:cs="Calibri" w:eastAsia="Calibri" w:hAnsi="Calibri"/>
          <w:b w:val="false"/>
          <w:bCs w:val="false"/>
          <w:i w:val="false"/>
          <w:iCs w:val="false"/>
          <w:sz w:val="22"/>
          <w:szCs w:val="22"/>
        </w:rPr>
        <w:t xml:space="preserve">De reader wijst het dossier aan als aggregate root, en verwerpt de nabestaande als root omdat een nabestaande in theorie bij meer dan één dossier betrokken kan zijn. Bedenk zelf een derde kandidaat-root uit het cluster (bijvoorbeeld de partnervaststelling zelf) en leg uit waarom die kandidaat minder geschikt is dan het dossier, met een concreet scenario waarin het mis zou gaan.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Voer de aggregaatschets uit (25 min)</w:t>
      </w:r>
    </w:p>
    <w:p>
      <w:pPr>
        <w:spacing w:after="140" w:line="300"/>
      </w:pPr>
      <w:r>
        <w:rPr>
          <w:rFonts w:ascii="Calibri" w:cs="Calibri" w:eastAsia="Calibri" w:hAnsi="Calibri"/>
          <w:b w:val="false"/>
          <w:bCs w:val="false"/>
          <w:i w:val="false"/>
          <w:iCs w:val="false"/>
          <w:sz w:val="22"/>
          <w:szCs w:val="22"/>
        </w:rPr>
        <w:t xml:space="preserve">Kies een nieuw, klein cluster uit het Nabestaandenloket dat nog niet in de reader is uitgewerkt: de samenloopberekening met een UWV-uitkering, samen met de gegevens die daarvoor nodig zijn (het UWV-bedrag, de ingangsdatum van de samenloop, de herrekende netto-uitkering). Vul de volledige aggregaatschets in: alle vier de vragen met een korte onderbouwing, en het afsluitende veld "dat het verschil maakt".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Het gesprek tussen Willemijn en Corné (30 min, tweetallen)</w:t>
      </w:r>
    </w:p>
    <w:p>
      <w:pPr>
        <w:spacing w:after="140" w:line="300"/>
      </w:pPr>
      <w:r>
        <w:rPr>
          <w:rFonts w:ascii="Calibri" w:cs="Calibri" w:eastAsia="Calibri" w:hAnsi="Calibri"/>
          <w:b w:val="false"/>
          <w:bCs w:val="false"/>
          <w:i w:val="false"/>
          <w:iCs w:val="false"/>
          <w:sz w:val="22"/>
          <w:szCs w:val="22"/>
        </w:rPr>
        <w:t xml:space="preserve">Eén van jullie is Willemijn, de ander is Corné. Corné stelt voor om, "voor de zekerheid", toch maar de correspondentie binnen dezelfde aggregate als het dossier te plaatsen — hij is bang voor een nieuw incident. Willemijn moet, met de vraag uit dossierstuk 6-B, verdedigen waarom dat niet nodig is en zelfs een nieuw probleem zou veroorzaken.</w:t>
      </w:r>
    </w:p>
    <w:p>
      <w:pPr>
        <w:spacing w:after="140" w:line="300"/>
      </w:pPr>
      <w:r>
        <w:rPr>
          <w:rFonts w:ascii="Calibri" w:cs="Calibri" w:eastAsia="Calibri" w:hAnsi="Calibri"/>
          <w:b w:val="false"/>
          <w:bCs w:val="false"/>
          <w:i w:val="false"/>
          <w:iCs w:val="false"/>
          <w:sz w:val="22"/>
          <w:szCs w:val="22"/>
        </w:rPr>
        <w:t xml:space="preserve">Wissel daarna van rol met een nieuw voorstel: Corné stelt nu voor om het adres júist wél apart, buiten elke aggregate, te laten bestaan zonder enige koppeling aan de nabestaande. Willemijn moet uitleggen waarom dat ook niet klopt.</w:t>
      </w:r>
    </w:p>
    <w:p>
      <w:pPr>
        <w:spacing w:after="140" w:line="300"/>
      </w:pPr>
      <w:r>
        <w:rPr>
          <w:rFonts w:ascii="Calibri" w:cs="Calibri" w:eastAsia="Calibri" w:hAnsi="Calibri"/>
          <w:b w:val="false"/>
          <w:bCs w:val="false"/>
          <w:i w:val="false"/>
          <w:iCs w:val="false"/>
          <w:sz w:val="22"/>
          <w:szCs w:val="22"/>
        </w:rPr>
        <w:t xml:space="preserve">Bespreek na afloop: welk argument overtuigde het meest, en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Terug naar deel 5 (20 min, plenair)</w:t>
      </w:r>
    </w:p>
    <w:p>
      <w:pPr>
        <w:spacing w:after="140" w:line="300"/>
      </w:pPr>
      <w:r>
        <w:rPr>
          <w:rFonts w:ascii="Calibri" w:cs="Calibri" w:eastAsia="Calibri" w:hAnsi="Calibri"/>
          <w:b w:val="false"/>
          <w:bCs w:val="false"/>
          <w:i w:val="false"/>
          <w:iCs w:val="false"/>
          <w:sz w:val="22"/>
          <w:szCs w:val="22"/>
        </w:rPr>
        <w:t xml:space="preserve">Bespreek gezamenlijk: op welke manier bouwt het aggregate voort op het onderscheid tussen entity en value object uit deel 5? Kan een aggregate uitsluitend uit value objects bestaan, zonder één enkele entity als root? Formuleer in maximaal vier zinnen waarom de aggregate root altijd een entity moet zijn. Bewaar dit antwoord; je hebt het nodig in deel 10.</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1</w:t>
      </w:r>
    </w:p>
    <w:p>
      <w:pPr>
        <w:spacing w:after="140" w:line="300"/>
      </w:pPr>
      <w:r>
        <w:rPr>
          <w:rFonts w:ascii="Calibri" w:cs="Calibri" w:eastAsia="Calibri" w:hAnsi="Calibri"/>
          <w:b w:val="false"/>
          <w:bCs w:val="false"/>
          <w:i w:val="false"/>
          <w:iCs w:val="false"/>
          <w:sz w:val="22"/>
          <w:szCs w:val="22"/>
        </w:rPr>
        <w:t xml:space="preserve">a. Het adres (value object, gekoppeld aan de nabestaande) en het bedrag van de partnervaststelling (onderdeel van de vaststelling-entity) werden onafhankelijk van elkaar gewijzigd en onafhankelijk van elkaar opgeslagen. Omdat de opslag het volledige dossierrecord overschreef in plaats van alleen het gewijzigde onderdeel, ging de eerste wijziging (het adres) verloren toen de tweede wijziging (het bedrag) werd opgeslagen.</w:t>
      </w:r>
    </w:p>
    <w:p>
      <w:pPr>
        <w:spacing w:after="140" w:line="300"/>
      </w:pPr>
      <w:r>
        <w:rPr>
          <w:rFonts w:ascii="Calibri" w:cs="Calibri" w:eastAsia="Calibri" w:hAnsi="Calibri"/>
          <w:b w:val="false"/>
          <w:bCs w:val="false"/>
          <w:i w:val="false"/>
          <w:iCs w:val="false"/>
          <w:sz w:val="22"/>
          <w:szCs w:val="22"/>
        </w:rPr>
        <w:t xml:space="preserve">b. Nee — sterker nog, dit incident toont juist aan dat adres en bedrag niets met elkaar te maken hebben en dus geen reden hebben om binnen dezelfde consistentiegrens te zitten. Het probleem zat niet in het feit dat ze onafhankelijk wijzigden (dat mág), maar in de technische manier van opslaan die geen onderscheid maakte tussen "twee onafhankelijke wijzigingen die toevallig tegelijk gebeuren" en "één wijziging die de andere overschrijft". Een correct ontworpen aggregate rond het dossier (met alleen de vaststelling en haar onderbouwing binnen de grens) had dit specifieke incident voorkomen doordat de opslag dan per aggregate, niet per volledig dossierrecord, had plaatsgevonden.</w:t>
      </w:r>
    </w:p>
    <w:p>
      <w:pPr>
        <w:spacing w:after="140" w:line="300"/>
      </w:pPr>
      <w:r>
        <w:rPr>
          <w:rFonts w:ascii="Calibri" w:cs="Calibri" w:eastAsia="Calibri" w:hAnsi="Calibri"/>
          <w:b w:val="false"/>
          <w:bCs w:val="false"/>
          <w:i w:val="false"/>
          <w:iCs w:val="false"/>
          <w:sz w:val="22"/>
          <w:szCs w:val="22"/>
        </w:rPr>
        <w:t xml:space="preserve">c. Ja — volgens Saïda's vraag ("welke wijziging moet, om geldig te zijn, een andere wijziging gegarandeerd meenemen?") horen bedrag en onderbouwing gegarandeerd samen: een gewijzigd bedrag zonder bijbehorende, gewijzigde onderbouwing zou voor Saïda een ongeldige toestand zijn die ze achteraf niet kan verdedigen.</w:t>
      </w:r>
    </w:p>
    <w:p>
      <w:pPr>
        <w:pStyle w:val="Heading2"/>
        <w:spacing w:after="120" w:before="200"/>
      </w:pPr>
      <w:r>
        <w:rPr>
          <w:rFonts w:ascii="Georgia" w:cs="Georgia" w:eastAsia="Georgia" w:hAnsi="Georgia"/>
          <w:b/>
          <w:bCs/>
          <w:color w:val="2C5AA0"/>
          <w:sz w:val="28"/>
          <w:szCs w:val="28"/>
        </w:rPr>
        <w:t xml:space="preserve">Uitwerking 2</w:t>
      </w:r>
    </w:p>
    <w:p>
      <w:pPr>
        <w:spacing w:after="140" w:line="300"/>
      </w:pPr>
      <w:r>
        <w:rPr>
          <w:rFonts w:ascii="Calibri" w:cs="Calibri" w:eastAsia="Calibri" w:hAnsi="Calibri"/>
          <w:b w:val="false"/>
          <w:bCs w:val="false"/>
          <w:i w:val="false"/>
          <w:iCs w:val="false"/>
          <w:sz w:val="22"/>
          <w:szCs w:val="22"/>
        </w:rPr>
        <w:t xml:space="preserve">Twee concrete problemen bij Rutgers voorstel (de "te groot"-denkfout uit de reader):</w:t>
      </w:r>
    </w:p>
    <w:p>
      <w:pPr>
        <w:pStyle w:val="ListParagraph"/>
        <w:numPr>
          <w:ilvl w:val="0"/>
          <w:numId w:val="1"/>
        </w:numPr>
        <w:spacing w:after="80"/>
      </w:pPr>
      <w:r>
        <w:rPr>
          <w:rFonts w:ascii="Calibri" w:cs="Calibri" w:eastAsia="Calibri" w:hAnsi="Calibri"/>
          <w:sz w:val="22"/>
          <w:szCs w:val="22"/>
        </w:rPr>
        <w:t xml:space="preserve">Als het hele dossier — inclusief alle correspondentie en alle compliance-notities — één aggregate wordt, dan moet elke wijziging via die ene root lopen. Twee medewerkers die onafhankelijk van elkaar iets willen doen aan hetzelfde dossier (de een een brief versturen, de ander een adreswijziging verwerken) kunnen dat niet meer tegelijk: de een moet wachten tot de ander klaar is, ook al hebben hun taken niets met elkaar te maken. Bij een team van dertig medewerkers die continu dossiers verwerken, levert dat merkbare wachttijden op.</w:t>
      </w:r>
    </w:p>
    <w:p>
      <w:pPr>
        <w:pStyle w:val="ListParagraph"/>
        <w:numPr>
          <w:ilvl w:val="0"/>
          <w:numId w:val="1"/>
        </w:numPr>
        <w:spacing w:after="80"/>
      </w:pPr>
      <w:r>
        <w:rPr>
          <w:rFonts w:ascii="Calibri" w:cs="Calibri" w:eastAsia="Calibri" w:hAnsi="Calibri"/>
          <w:sz w:val="22"/>
          <w:szCs w:val="22"/>
        </w:rPr>
        <w:t xml:space="preserve">Saïda's compliance-notities zouden, in Rutgers voorstel, binnen dezelfde aggregate vallen als alle operationele wijzigingen. Dat betekent dat Saïda, wanneer ze een notitie wil toevoegen, moet wachten tot geen enkele andere medewerker op dat moment iets anders aan hetzelfde dossier doet — en omgekeerd blokkeert Saïda het team elke keer dat zij iets documenteert. Dat ondermijnt precies de onafhankelijkheid die Saïda's rol vereist.</w:t>
      </w:r>
    </w:p>
    <w:p>
      <w:pPr>
        <w:pStyle w:val="Heading2"/>
        <w:spacing w:after="120" w:before="200"/>
      </w:pPr>
      <w:r>
        <w:rPr>
          <w:rFonts w:ascii="Georgia" w:cs="Georgia" w:eastAsia="Georgia" w:hAnsi="Georgia"/>
          <w:b/>
          <w:bCs/>
          <w:color w:val="2C5AA0"/>
          <w:sz w:val="28"/>
          <w:szCs w:val="28"/>
        </w:rPr>
        <w:t xml:space="preserve">Uitwerking 3</w:t>
      </w:r>
    </w:p>
    <w:p>
      <w:pPr>
        <w:spacing w:after="140" w:line="300"/>
      </w:pPr>
      <w:r>
        <w:rPr>
          <w:rFonts w:ascii="Calibri" w:cs="Calibri" w:eastAsia="Calibri" w:hAnsi="Calibri"/>
          <w:b w:val="false"/>
          <w:bCs w:val="false"/>
          <w:i w:val="false"/>
          <w:iCs w:val="false"/>
          <w:sz w:val="22"/>
          <w:szCs w:val="22"/>
        </w:rPr>
        <w:t xml:space="preserve">Kandidaat: de partnervaststelling zelf als root.</w:t>
      </w:r>
    </w:p>
    <w:p>
      <w:pPr>
        <w:spacing w:after="140" w:line="300"/>
      </w:pPr>
      <w:r>
        <w:rPr>
          <w:rFonts w:ascii="Calibri" w:cs="Calibri" w:eastAsia="Calibri" w:hAnsi="Calibri"/>
          <w:b w:val="false"/>
          <w:bCs w:val="false"/>
          <w:i w:val="false"/>
          <w:iCs w:val="false"/>
          <w:sz w:val="22"/>
          <w:szCs w:val="22"/>
        </w:rPr>
        <w:t xml:space="preserve">Dit zou misgaan omdat de partnervaststelling, zoals in deel 5 vastgesteld, bij elke herberekening een nieuwe entity wordt (een nieuwe vaststelling naast de oude, niet een aangepaste). Als de vaststelling de root zou zijn, zou er bij elke herberekening een nieuwe aggregate-root ontstaan — en daarmee zou het dossier zelf, met zijn eigen dossiernummer waarmee Willemijn en de organisatie ernaar verwijzen, geen vaste identiteit meer hebben om de opeenvolgende vaststellingen aan op te hangen. Concreet scenario: bij een bezwaar zou Saïda dan niet meer kunnen navragen "toon mij alle vaststellingen die ooit bij dit dossier hoorden", omdat er geen stabiele root meer is die ze allemaal verbindt — elke vaststelling zou op zichzelf staan.</w:t>
      </w:r>
    </w:p>
    <w:p>
      <w:pPr>
        <w:pStyle w:val="Heading2"/>
        <w:spacing w:after="120" w:before="200"/>
      </w:pPr>
      <w:r>
        <w:rPr>
          <w:rFonts w:ascii="Georgia" w:cs="Georgia" w:eastAsia="Georgia" w:hAnsi="Georgia"/>
          <w:b/>
          <w:bCs/>
          <w:color w:val="2C5AA0"/>
          <w:sz w:val="28"/>
          <w:szCs w:val="28"/>
        </w:rPr>
        <w:t xml:space="preserve">Uitwerking 4</w:t>
      </w:r>
    </w:p>
    <w:p>
      <w:pPr>
        <w:spacing w:after="140" w:line="300"/>
      </w:pPr>
      <w:r>
        <w:rPr>
          <w:rFonts w:ascii="Calibri" w:cs="Calibri" w:eastAsia="Calibri" w:hAnsi="Calibri"/>
          <w:b w:val="false"/>
          <w:bCs w:val="false"/>
          <w:i w:val="false"/>
          <w:iCs w:val="false"/>
          <w:sz w:val="22"/>
          <w:szCs w:val="22"/>
        </w:rPr>
        <w:t xml:space="preserve">Voorbeelduitwerking voor het cluster "samenloopberekening met UWV-uitkering":</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Objecten op het eerste gezicht: de samenloopberekening zelf, het UWV-bedrag, de ingangsdatum van de samenloop, de herrekende netto-uitkering, de partnervaststelling waarop de correctie wordt toegepast.
Welke wijzigingen moeten gegarandeerd samen kloppen? De herrekende netto-uitkering en het UWV-bedrag waarop die herrekening is gebaseerd horen gegarandeerd samen — een herrekende uitkering zonder het bijbehorende UWV-bedrag is niet te verantwoorden. De ingangsdatum hoort bij dezelfde berekening. De onderliggende partnervaststelling zelf hoeft niet in dezelfde aggregate: de samenloopberekening verwijst ernaar, maar een latere wijziging van de vaststelling (bijvoorbeeld een nieuwe berekening om een andere reden) hoeft niet te wachten op, of geblokkeerd te worden door, een lopende samenloopberekening.
Wie wordt de root? De samenloopberekening zelf, met als identificerend kenmerk de combinatie van dossiernummer en de periode waarop de samenloop betrekking heeft. Zij bewaakt de regel dat een herrekend bedrag nooit zonder het bijbehorende UWV-bedrag mag bestaan.
Wat valt buiten de grens? De partnervaststelling (los wijzigbaar, wordt alleen als verwijzing meegenomen) en toekomstige samenloopberekeningen voor een andere periode (die vormen een eigen, aparte aggregate met een eigen root).
**Dat het verschil maakt:** als we de samenloopberekening binnen dezelfde aggregate als de volledige partnervaststelling zouden plaatsen, kan niemand meer een nieuwe samenloopberekening starten terwijl er tegelijk, om een andere reden, aan de vaststelling wordt gewerkt — en Nabestaandenzaken is degene die dat als eerste merkt, wanneer een dossier met een lopende UWV-check "op slot" lijkt te zitten voor iets wat er niets mee te maken heeft.</w:t>
            </w:r>
          </w:p>
        </w:tc>
      </w:tr>
    </w:tbl>
    <w:p>
      <w:pPr>
        <w:pStyle w:val="Heading2"/>
        <w:spacing w:after="120" w:before="200"/>
      </w:pPr>
      <w:r>
        <w:rPr>
          <w:rFonts w:ascii="Georgia" w:cs="Georgia" w:eastAsia="Georgia" w:hAnsi="Georgia"/>
          <w:b/>
          <w:bCs/>
          <w:color w:val="2C5AA0"/>
          <w:sz w:val="28"/>
          <w:szCs w:val="28"/>
        </w:rPr>
        <w:t xml:space="preserve">Uitwerking 5</w:t>
      </w:r>
    </w:p>
    <w:p>
      <w:pPr>
        <w:spacing w:after="140" w:line="300"/>
      </w:pPr>
      <w:r>
        <w:rPr>
          <w:rFonts w:ascii="Calibri" w:cs="Calibri" w:eastAsia="Calibri" w:hAnsi="Calibri"/>
          <w:b w:val="false"/>
          <w:bCs w:val="false"/>
          <w:i w:val="false"/>
          <w:iCs w:val="false"/>
          <w:sz w:val="22"/>
          <w:szCs w:val="22"/>
        </w:rPr>
        <w:t xml:space="preserve">Aandachtspunten voor de nabespreking:</w:t>
      </w:r>
    </w:p>
    <w:p>
      <w:pPr>
        <w:pStyle w:val="ListParagraph"/>
        <w:numPr>
          <w:ilvl w:val="0"/>
          <w:numId w:val="1"/>
        </w:numPr>
        <w:spacing w:after="80"/>
      </w:pPr>
      <w:r>
        <w:rPr>
          <w:rFonts w:ascii="Calibri" w:cs="Calibri" w:eastAsia="Calibri" w:hAnsi="Calibri"/>
          <w:sz w:val="22"/>
          <w:szCs w:val="22"/>
        </w:rPr>
        <w:t xml:space="preserve">Bij het eerste voorstel (correspondentie erbij) is het sterkste argument meestal: het risico dat Corné vreest (verkeerd adres in een verstuurde brief) wordt niet opgelost door de aggregate groter te maken, maar door de brief te laten verwijzen naar de op dát moment geldende vaststelling — een ontwerpkeuze die niets met de aggregategrootte te maken heeft.</w:t>
      </w:r>
    </w:p>
    <w:p>
      <w:pPr>
        <w:pStyle w:val="ListParagraph"/>
        <w:numPr>
          <w:ilvl w:val="0"/>
          <w:numId w:val="1"/>
        </w:numPr>
        <w:spacing w:after="80"/>
      </w:pPr>
      <w:r>
        <w:rPr>
          <w:rFonts w:ascii="Calibri" w:cs="Calibri" w:eastAsia="Calibri" w:hAnsi="Calibri"/>
          <w:sz w:val="22"/>
          <w:szCs w:val="22"/>
        </w:rPr>
        <w:t xml:space="preserve">Bij het tweede voorstel (adres helemaal los, zonder koppeling) is het sterkste argument dat een adres zonder koppeling aan een nabestaande geen betekenis meer heeft — het is dan geen value object van iemand, maar een zwevend gegeven zonder eigenaar; de koppeling zelf hoeft geen aggregate te zijn, maar moet wel expliciet blijven bestaan.</w:t>
      </w:r>
    </w:p>
    <w:p>
      <w:pPr>
        <w:pStyle w:val="ListParagraph"/>
        <w:numPr>
          <w:ilvl w:val="0"/>
          <w:numId w:val="1"/>
        </w:numPr>
        <w:spacing w:after="80"/>
      </w:pPr>
      <w:r>
        <w:rPr>
          <w:rFonts w:ascii="Calibri" w:cs="Calibri" w:eastAsia="Calibri" w:hAnsi="Calibri"/>
          <w:sz w:val="22"/>
          <w:szCs w:val="22"/>
        </w:rPr>
        <w:t xml:space="preserve">Een goed teken tijdens het gesprek: het moment waarop "Corné" toegeeft dat zijn angst voor een nieuw incident eigenlijk een ander probleem betreft (hoe brieven met de juiste, actuele gegevens worden gegenereerd) dan de aggregaatgrens zelf.</w:t>
      </w:r>
    </w:p>
    <w:p>
      <w:pPr>
        <w:pStyle w:val="Heading2"/>
        <w:spacing w:after="120" w:before="200"/>
      </w:pPr>
      <w:r>
        <w:rPr>
          <w:rFonts w:ascii="Georgia" w:cs="Georgia" w:eastAsia="Georgia" w:hAnsi="Georgia"/>
          <w:b/>
          <w:bCs/>
          <w:color w:val="2C5AA0"/>
          <w:sz w:val="28"/>
          <w:szCs w:val="28"/>
        </w:rPr>
        <w:t xml:space="preserve">Uitwerking 6</w:t>
      </w:r>
    </w:p>
    <w:p>
      <w:pPr>
        <w:spacing w:after="140" w:line="300"/>
      </w:pPr>
      <w:r>
        <w:rPr>
          <w:rFonts w:ascii="Calibri" w:cs="Calibri" w:eastAsia="Calibri" w:hAnsi="Calibri"/>
          <w:b w:val="false"/>
          <w:bCs w:val="false"/>
          <w:i w:val="false"/>
          <w:iCs w:val="false"/>
          <w:sz w:val="22"/>
          <w:szCs w:val="22"/>
        </w:rPr>
        <w:t xml:space="preserve">Een goed antwoord bevat deze kern: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Het aggregate bouwt direct voort op deel 5, omdat de grens alleen zinvol te trekken is als eerst duidelijk is wélke objecten een eigen identiteit hebben (entity's) en welke volledig door hun inhoud worden bepaald (value objects). Een aggregate kan niet uitsluitend uit value objects bestaan zonder root-entity, omdat de root de identiteit is waarmee de buitenwereld het geheel aanspreekt en waaraan alle wijzigingen worden getoetst — value objects hebben per definitie geen eigen identiteit en kunnen dus niet die aanspreekbare, blijvende rol vervullen. Zonder een entity als anker zou er niets zijn dat "hetzelfde aggregate van gisteren" blijft als de inhoud wijzigt, en daarmee zou het hele idee van een consistentiegrens die door de tijd heen bewaakt wordt, wegvallen.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2026-08-16T19:17:59.387Z</dcterms:created>
  <dcterms:modified xsi:type="dcterms:W3CDTF">2026-08-16T19:17:59.387Z</dcterms:modified>
</cp:coreProperties>
</file>

<file path=docProps/custom.xml><?xml version="1.0" encoding="utf-8"?>
<Properties xmlns="http://schemas.openxmlformats.org/officeDocument/2006/custom-properties" xmlns:vt="http://schemas.openxmlformats.org/officeDocument/2006/docPropsVTypes"/>
</file>