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7 — Domain event: wat er is gebeurd, onveranderlijk</w:t>
      </w:r>
    </w:p>
    <w:p>
      <w:pPr>
        <w:spacing w:after="140" w:line="300"/>
      </w:pPr>
      <w:r>
        <w:rPr>
          <w:rFonts w:ascii="Calibri" w:cs="Calibri" w:eastAsia="Calibri" w:hAnsi="Calibri"/>
          <w:b w:val="false"/>
          <w:bCs w:val="false"/>
          <w:i w:val="false"/>
          <w:iCs w:val="false"/>
          <w:sz w:val="22"/>
          <w:szCs w:val="22"/>
        </w:rPr>
        <w:t xml:space="preserve">Docentenhandleiding · Ductus-cursus Domain-Driven Design · niveau 1 · deel 7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 Positie van dit deel</w:t>
      </w:r>
    </w:p>
    <w:p>
      <w:pPr>
        <w:spacing w:after="140" w:line="300"/>
      </w:pPr>
      <w:r>
        <w:rPr>
          <w:rFonts w:ascii="Calibri" w:cs="Calibri" w:eastAsia="Calibri" w:hAnsi="Calibri"/>
          <w:b w:val="false"/>
          <w:bCs w:val="false"/>
          <w:i w:val="false"/>
          <w:iCs w:val="false"/>
          <w:sz w:val="22"/>
          <w:szCs w:val="22"/>
        </w:rPr>
        <w:t xml:space="preserve">Deel 7 beantwoordt een vraag die al sinds deel 6 — en eigenlijk al sinds Saïda's eerste opmerkingen daarvoor — open lag: het aggregate bewaakt de consistentie van de huidige toestand, maar zegt niets over hoe die toestand is ontstaan. Dit deel introduceert het domain event als het antwoord: een onveranderlijk feit uit het verleden, in plaats van een overschreven statusveld. Het is het deel waarin het team voor het eerst expliciet het onderscheid maakt tussen "wat is er nu waar" en "wat is er allemaal gebeurd" — een omslag die veel deelnemers, net als Rutger in de casus, als een kleine openbaring ervaren. Dit deel bereidt rechtstreeks deel 8 voor: pas als helder is wát een aggregate vastlegt als gebeurtenis, kan het team zinvol bepalen waar het gedrag hoort dat die gebeurtenissen veroorzaakt.</w:t>
      </w:r>
    </w:p>
    <w:p>
      <w:pPr>
        <w:pStyle w:val="ListParagraph"/>
        <w:numPr>
          <w:ilvl w:val="0"/>
          <w:numId w:val="1"/>
        </w:numPr>
        <w:spacing w:after="80"/>
      </w:pPr>
      <w:r>
        <w:rPr>
          <w:rFonts w:ascii="Calibri" w:cs="Calibri" w:eastAsia="Calibri" w:hAnsi="Calibri"/>
          <w:sz w:val="22"/>
          <w:szCs w:val="22"/>
        </w:rPr>
        <w:t xml:space="preserve">**Module-onderdeel:** rechtstreeks het curriculumonderdeel "domain event" van de iSAQB Advanced-module DDD.</w:t>
      </w:r>
    </w:p>
    <w:p>
      <w:pPr>
        <w:pStyle w:val="ListParagraph"/>
        <w:numPr>
          <w:ilvl w:val="0"/>
          <w:numId w:val="1"/>
        </w:numPr>
        <w:spacing w:after="80"/>
      </w:pPr>
      <w:r>
        <w:rPr>
          <w:rFonts w:ascii="Calibri" w:cs="Calibri" w:eastAsia="Calibri" w:hAnsi="Calibri"/>
          <w:sz w:val="22"/>
          <w:szCs w:val="22"/>
        </w:rPr>
        <w:t xml:space="preserve">**Werkvorm:** de gebeurtenislijst.</w:t>
      </w:r>
    </w:p>
    <w:p>
      <w:pPr>
        <w:pStyle w:val="ListParagraph"/>
        <w:numPr>
          <w:ilvl w:val="0"/>
          <w:numId w:val="1"/>
        </w:numPr>
        <w:spacing w:after="80"/>
      </w:pPr>
      <w:r>
        <w:rPr>
          <w:rFonts w:ascii="Calibri" w:cs="Calibri" w:eastAsia="Calibri" w:hAnsi="Calibri"/>
          <w:sz w:val="22"/>
          <w:szCs w:val="22"/>
        </w:rPr>
        <w:t xml:space="preserve">**Duur:** één dagdeel (3,5 uur inclusief pauze).</w:t>
      </w:r>
    </w:p>
    <w:p>
      <w:pPr>
        <w:pStyle w:val="ListParagraph"/>
        <w:numPr>
          <w:ilvl w:val="0"/>
          <w:numId w:val="1"/>
        </w:numPr>
        <w:spacing w:after="80"/>
      </w:pPr>
      <w:r>
        <w:rPr>
          <w:rFonts w:ascii="Calibri" w:cs="Calibri" w:eastAsia="Calibri" w:hAnsi="Calibri"/>
          <w:sz w:val="22"/>
          <w:szCs w:val="22"/>
        </w:rPr>
        <w:t xml:space="preserve">**Voorbereiding deelnemers:** deel 1 t/m 6 afgerond, aggregaatschets uit deel 6 bij de hand.</w:t>
      </w:r>
    </w:p>
    <w:p>
      <w:pPr>
        <w:pStyle w:val="Heading2"/>
        <w:spacing w:after="120" w:before="200"/>
      </w:pPr>
      <w:r>
        <w:rPr>
          <w:rFonts w:ascii="Georgia" w:cs="Georgia" w:eastAsia="Georgia" w:hAnsi="Georgia"/>
          <w:b/>
          <w:bCs/>
          <w:color w:val="2C5AA0"/>
          <w:sz w:val="28"/>
          <w:szCs w:val="28"/>
        </w:rPr>
        <w:t xml:space="preserve">2. Tijdschema (dagdeel van 3,5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6 en de openingsvraag (zie §3)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Wat een domain event is; de casus van het notitieveld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0:45-1:05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 — statusveld of domain event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1:05-1:25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 — herschrijf het notitieveld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1:25-1:40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1:40-1:55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gebeurtenislijst: de vier vragen en het vijfde veld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1:55-2:10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 — opdracht of gebeurtenis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2:10-2:35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4 — eigen gebeurtenislijst uitvoeren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2:35-3:05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5 — rollenspel in tweetallen, inclusief nabespreking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3:05-3:25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 — terug naar deel 6,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3:25-3:35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Vooruitblik deel 8</w:t>
            </w:r>
          </w:p>
        </w:tc>
      </w:tr>
    </w:tbl>
    <w:p>
      <w:pPr>
        <w:spacing w:after="140" w:line="300"/>
      </w:pPr>
      <w:r>
        <w:rPr>
          <w:rFonts w:ascii="Calibri" w:cs="Calibri" w:eastAsia="Calibri" w:hAnsi="Calibri"/>
          <w:b w:val="false"/>
          <w:bCs w:val="false"/>
          <w:i w:val="false"/>
          <w:iCs w:val="false"/>
          <w:sz w:val="22"/>
          <w:szCs w:val="22"/>
        </w:rPr>
        <w:t xml:space="preserve">Loop je uit, dan schrap je opdracht 3 en verwerk je het onderscheid opdracht/event mondeling bij de introductie van de gebeurtenislijst. Schrap nooit opdracht 5: het rollenspel oefent de twee kanten van dezelfde valkuil (te weinig vastleggen, te veel vastleggen) en is het enige onderdeel dat deelnemers dwingt om de significantietoets in een levend gesprek toe te passen, niet alleen op papier.</w:t>
      </w:r>
    </w:p>
    <w:p>
      <w:pPr>
        <w:pStyle w:val="Heading2"/>
        <w:spacing w:after="120" w:before="200"/>
      </w:pPr>
      <w:r>
        <w:rPr>
          <w:rFonts w:ascii="Georgia" w:cs="Georgia" w:eastAsia="Georgia" w:hAnsi="Georgia"/>
          <w:b/>
          <w:bCs/>
          <w:color w:val="2C5AA0"/>
          <w:sz w:val="28"/>
          <w:szCs w:val="28"/>
        </w:rPr>
        <w:t xml:space="preserve">3. De openingsvraag</w:t>
      </w:r>
    </w:p>
    <w:p>
      <w:pPr>
        <w:spacing w:after="140" w:line="300"/>
      </w:pPr>
      <w:r>
        <w:rPr>
          <w:rFonts w:ascii="Calibri" w:cs="Calibri" w:eastAsia="Calibri" w:hAnsi="Calibri"/>
          <w:b w:val="false"/>
          <w:bCs w:val="false"/>
          <w:i w:val="false"/>
          <w:iCs w:val="false"/>
          <w:sz w:val="22"/>
          <w:szCs w:val="22"/>
        </w:rPr>
        <w:t xml:space="preserve">Begin niet met de definitie van domain event. Stel de groep deze vraag en laat hem even hangen:</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*"Een nabestaande maakt bezwaar tegen een toegekend bedrag. Ze wil weten waarom het lager is dan verwacht. In het systeem staat alleen het huidige bedrag. Wat kan de medewerker die het dossier behandelt, op dit moment wél en niet beantwoorden — en wat zou er anders moeten worden vastgelegd om dat wél te kunnen?"*</w:t>
            </w:r>
          </w:p>
        </w:tc>
      </w:tr>
    </w:tbl>
    <w:p>
      <w:pPr>
        <w:spacing w:after="140" w:line="300"/>
      </w:pPr>
      <w:r>
        <w:rPr>
          <w:rFonts w:ascii="Calibri" w:cs="Calibri" w:eastAsia="Calibri" w:hAnsi="Calibri"/>
          <w:b w:val="false"/>
          <w:bCs w:val="false"/>
          <w:i w:val="false"/>
          <w:iCs w:val="false"/>
          <w:sz w:val="22"/>
          <w:szCs w:val="22"/>
        </w:rPr>
        <w:t xml:space="preserve">Verzamel antwoorden op een flap zonder te oordelen. Veelvoorkomende antwoorden: "een logboek bijhouden", "alles wat verandert opschrijven", "een geschiedenis van het dossier". Bewaar de flap: aan het eind van dit deel kom je terug op de vraag welke van deze antwoorden daadwerkelijk een domain event beschrijven en welke te vaag of te breed zijn.</w:t>
      </w:r>
    </w:p>
    <w:p>
      <w:pPr>
        <w:pStyle w:val="Heading2"/>
        <w:spacing w:after="120" w:before="200"/>
      </w:pPr>
      <w:r>
        <w:rPr>
          <w:rFonts w:ascii="Georgia" w:cs="Georgia" w:eastAsia="Georgia" w:hAnsi="Georgia"/>
          <w:b/>
          <w:bCs/>
          <w:color w:val="2C5AA0"/>
          <w:sz w:val="28"/>
          <w:szCs w:val="28"/>
        </w:rPr>
        <w:t xml:space="preserve">4. Didactische aanwijzingen per onderdeel</w:t>
      </w:r>
    </w:p>
    <w:p>
      <w:pPr>
        <w:spacing w:after="140" w:line="300"/>
      </w:pPr>
      <w:r>
        <w:rPr>
          <w:rFonts w:ascii="Calibri" w:cs="Calibri" w:eastAsia="Calibri" w:hAnsi="Calibri"/>
          <w:b/>
          <w:bCs/>
          <w:i w:val="false"/>
          <w:iCs w:val="false"/>
          <w:sz w:val="22"/>
          <w:szCs w:val="22"/>
        </w:rPr>
        <w:t xml:space="preserve">Wat een domain event is (0:15-0:45).</w:t>
      </w:r>
      <w:r>
        <w:rPr>
          <w:rFonts w:ascii="Calibri" w:cs="Calibri" w:eastAsia="Calibri" w:hAnsi="Calibri"/>
          <w:b w:val="false"/>
          <w:bCs w:val="false"/>
          <w:i w:val="false"/>
          <w:iCs w:val="false"/>
          <w:sz w:val="22"/>
          <w:szCs w:val="22"/>
        </w:rPr>
        <w:t xml:space="preserve"> Vermijd de valkuil om domain event meteen te introduceren als "een soort logregel" — dat leidt ertoe dat deelnemers het verwarren met technische logging (zie §5). Begin in plaats daarvan bij Willemijns reconstructie in de casus: laat zien wat er niet meer te beantwoorden is zónder domain events, en leid van daaruit de drie kenmerken af (verleden tijd, onveranderlijk, draagt de gegevens van dat moment).</w:t>
      </w:r>
    </w:p>
    <w:p>
      <w:pPr>
        <w:spacing w:after="140" w:line="300"/>
      </w:pPr>
      <w:r>
        <w:rPr>
          <w:rFonts w:ascii="Calibri" w:cs="Calibri" w:eastAsia="Calibri" w:hAnsi="Calibri"/>
          <w:b/>
          <w:bCs/>
          <w:i w:val="false"/>
          <w:iCs w:val="false"/>
          <w:sz w:val="22"/>
          <w:szCs w:val="22"/>
        </w:rPr>
        <w:t xml:space="preserve">De casus (0:15-0:45).</w:t>
      </w:r>
      <w:r>
        <w:rPr>
          <w:rFonts w:ascii="Calibri" w:cs="Calibri" w:eastAsia="Calibri" w:hAnsi="Calibri"/>
          <w:b w:val="false"/>
          <w:bCs w:val="false"/>
          <w:i w:val="false"/>
          <w:iCs w:val="false"/>
          <w:sz w:val="22"/>
          <w:szCs w:val="22"/>
        </w:rPr>
        <w:t xml:space="preserve"> Laat de groep, voordat je de reader-analyse voorleest, zelf benoemen wat er mist in dossierstuk 7-A: niet "een notitie", maar structureel vastgelegde gegevens. Bouw van daaruit naar Rutgers voorstel en de introductie van het begrip.</w:t>
      </w:r>
    </w:p>
    <w:p>
      <w:pPr>
        <w:spacing w:after="140" w:line="300"/>
      </w:pPr>
      <w:r>
        <w:rPr>
          <w:rFonts w:ascii="Calibri" w:cs="Calibri" w:eastAsia="Calibri" w:hAnsi="Calibri"/>
          <w:b/>
          <w:bCs/>
          <w:i w:val="false"/>
          <w:iCs w:val="false"/>
          <w:sz w:val="22"/>
          <w:szCs w:val="22"/>
        </w:rPr>
        <w:t xml:space="preserve">Opdracht 1.</w:t>
      </w:r>
      <w:r>
        <w:rPr>
          <w:rFonts w:ascii="Calibri" w:cs="Calibri" w:eastAsia="Calibri" w:hAnsi="Calibri"/>
          <w:b w:val="false"/>
          <w:bCs w:val="false"/>
          <w:i w:val="false"/>
          <w:iCs w:val="false"/>
          <w:sz w:val="22"/>
          <w:szCs w:val="22"/>
        </w:rPr>
        <w:t xml:space="preserve"> Item c (dossierstatus) levert vaak discussie op: leg uit dat de huidige fase zelf een afgeleide waarde is, maar dat elke overgang tussen fasen wél een kandidaat-event is. Dit onderscheid — actuele stand versus de gebeurtenis van de overgang — is precies waar deelnemers na deze opdracht het scherpst in worden.</w:t>
      </w:r>
    </w:p>
    <w:p>
      <w:pPr>
        <w:spacing w:after="140" w:line="300"/>
      </w:pPr>
      <w:r>
        <w:rPr>
          <w:rFonts w:ascii="Calibri" w:cs="Calibri" w:eastAsia="Calibri" w:hAnsi="Calibri"/>
          <w:b/>
          <w:bCs/>
          <w:i w:val="false"/>
          <w:iCs w:val="false"/>
          <w:sz w:val="22"/>
          <w:szCs w:val="22"/>
        </w:rPr>
        <w:t xml:space="preserve">Opdracht 2.</w:t>
      </w:r>
      <w:r>
        <w:rPr>
          <w:rFonts w:ascii="Calibri" w:cs="Calibri" w:eastAsia="Calibri" w:hAnsi="Calibri"/>
          <w:b w:val="false"/>
          <w:bCs w:val="false"/>
          <w:i w:val="false"/>
          <w:iCs w:val="false"/>
          <w:sz w:val="22"/>
          <w:szCs w:val="22"/>
        </w:rPr>
        <w:t xml:space="preserve"> Laat deelnemers hardop benoemen wélk concreet voordeel het herschreven event oplevert ten opzichte van de vrije tekst uit dossierstuk 7-A. Voorkom dat het antwoord blijft steken bij "dit is netter" — het gaat om wat Willemijn er concreet mee kan bij een volgend bezwaar.</w:t>
      </w:r>
    </w:p>
    <w:p>
      <w:pPr>
        <w:spacing w:after="140" w:line="300"/>
      </w:pPr>
      <w:r>
        <w:rPr>
          <w:rFonts w:ascii="Calibri" w:cs="Calibri" w:eastAsia="Calibri" w:hAnsi="Calibri"/>
          <w:b/>
          <w:bCs/>
          <w:i w:val="false"/>
          <w:iCs w:val="false"/>
          <w:sz w:val="22"/>
          <w:szCs w:val="22"/>
        </w:rPr>
        <w:t xml:space="preserve">De gebeurtenislijst (1:40-1:55).</w:t>
      </w:r>
      <w:r>
        <w:rPr>
          <w:rFonts w:ascii="Calibri" w:cs="Calibri" w:eastAsia="Calibri" w:hAnsi="Calibri"/>
          <w:b w:val="false"/>
          <w:bCs w:val="false"/>
          <w:i w:val="false"/>
          <w:iCs w:val="false"/>
          <w:sz w:val="22"/>
          <w:szCs w:val="22"/>
        </w:rPr>
        <w:t xml:space="preserve"> Benoem uitdrukkelijk dat het vijfde, afsluitende veld hetzelfde terugkerende patroon volgt als de eerdere instrumenten. Besteed relatief veel tijd aan de tweede vraag ("wat maakt dit moment significant") — dat is de vraag waarmee deelnemers het langst worstelen, omdat "significant" makkelijk te ruim of te krap wordt ingevuld.</w:t>
      </w:r>
    </w:p>
    <w:p>
      <w:pPr>
        <w:spacing w:after="140" w:line="300"/>
      </w:pPr>
      <w:r>
        <w:rPr>
          <w:rFonts w:ascii="Calibri" w:cs="Calibri" w:eastAsia="Calibri" w:hAnsi="Calibri"/>
          <w:b/>
          <w:bCs/>
          <w:i w:val="false"/>
          <w:iCs w:val="false"/>
          <w:sz w:val="22"/>
          <w:szCs w:val="22"/>
        </w:rPr>
        <w:t xml:space="preserve">Opdracht 3.</w:t>
      </w:r>
      <w:r>
        <w:rPr>
          <w:rFonts w:ascii="Calibri" w:cs="Calibri" w:eastAsia="Calibri" w:hAnsi="Calibri"/>
          <w:b w:val="false"/>
          <w:bCs w:val="false"/>
          <w:i w:val="false"/>
          <w:iCs w:val="false"/>
          <w:sz w:val="22"/>
          <w:szCs w:val="22"/>
        </w:rPr>
        <w:t xml:space="preserve"> Dit is de plek waar het onderscheid tussen opdracht en gebeurtenis het scherpst wordt. Laat deelnemers expliciet benoemen wat er zou kunnen misgaan tussen het geven van de opdracht en het daadwerkelijk plaatsvinden van het event — bijvoorbeeld: een toekenning kan alsnog worden geweigerd na een late compliance-check.</w:t>
      </w:r>
    </w:p>
    <w:p>
      <w:pPr>
        <w:spacing w:after="140" w:line="300"/>
      </w:pPr>
      <w:r>
        <w:rPr>
          <w:rFonts w:ascii="Calibri" w:cs="Calibri" w:eastAsia="Calibri" w:hAnsi="Calibri"/>
          <w:b/>
          <w:bCs/>
          <w:i w:val="false"/>
          <w:iCs w:val="false"/>
          <w:sz w:val="22"/>
          <w:szCs w:val="22"/>
        </w:rPr>
        <w:t xml:space="preserve">Opdracht 4.</w:t>
      </w:r>
      <w:r>
        <w:rPr>
          <w:rFonts w:ascii="Calibri" w:cs="Calibri" w:eastAsia="Calibri" w:hAnsi="Calibri"/>
          <w:b w:val="false"/>
          <w:bCs w:val="false"/>
          <w:i w:val="false"/>
          <w:iCs w:val="false"/>
          <w:sz w:val="22"/>
          <w:szCs w:val="22"/>
        </w:rPr>
        <w:t xml:space="preserve"> Laat deelnemers hun ingevulde gebeurtenislijst voorlezen. Let specifiek op de derde vraag (welke gegevens horen erbij) — deelnemers vergeten hier vaak "wie" en "waarom", en noemen alleen het cijfermatige resultaat. Stuur bij met: "als je hiernaar terugkijkt zonder verder iets te weten, kun je dan het hele verhaal reconstrueren?"</w:t>
      </w:r>
    </w:p>
    <w:p>
      <w:pPr>
        <w:spacing w:after="140" w:line="300"/>
      </w:pPr>
      <w:r>
        <w:rPr>
          <w:rFonts w:ascii="Calibri" w:cs="Calibri" w:eastAsia="Calibri" w:hAnsi="Calibri"/>
          <w:b/>
          <w:bCs/>
          <w:i w:val="false"/>
          <w:iCs w:val="false"/>
          <w:sz w:val="22"/>
          <w:szCs w:val="22"/>
        </w:rPr>
        <w:t xml:space="preserve">Opdracht 5 (rollenspel).</w:t>
      </w:r>
      <w:r>
        <w:rPr>
          <w:rFonts w:ascii="Calibri" w:cs="Calibri" w:eastAsia="Calibri" w:hAnsi="Calibri"/>
          <w:b w:val="false"/>
          <w:bCs w:val="false"/>
          <w:i w:val="false"/>
          <w:iCs w:val="false"/>
          <w:sz w:val="22"/>
          <w:szCs w:val="22"/>
        </w:rPr>
        <w:t xml:space="preserve"> Twee aanwijzingen:</w:t>
      </w:r>
    </w:p>
    <w:p>
      <w:pPr>
        <w:pStyle w:val="ListParagraph"/>
        <w:numPr>
          <w:ilvl w:val="0"/>
          <w:numId w:val="1"/>
        </w:numPr>
        <w:spacing w:after="80"/>
      </w:pPr>
      <w:r>
        <w:rPr>
          <w:rFonts w:ascii="Calibri" w:cs="Calibri" w:eastAsia="Calibri" w:hAnsi="Calibri"/>
          <w:sz w:val="22"/>
          <w:szCs w:val="22"/>
        </w:rPr>
        <w:t xml:space="preserve">Laat "de nieuwe collega" bij het eerste voorstel de tijdsdruk serieus spelen ("ik heb geen tijd om alles apart vast te leggen") — dat maakt het voor "Saïda" realistischer om het verschil tussen snelheid en uitlegbaarheid scherp te krijgen.</w:t>
      </w:r>
    </w:p>
    <w:p>
      <w:pPr>
        <w:pStyle w:val="ListParagraph"/>
        <w:numPr>
          <w:ilvl w:val="0"/>
          <w:numId w:val="1"/>
        </w:numPr>
        <w:spacing w:after="80"/>
      </w:pPr>
      <w:r>
        <w:rPr>
          <w:rFonts w:ascii="Calibri" w:cs="Calibri" w:eastAsia="Calibri" w:hAnsi="Calibri"/>
          <w:sz w:val="22"/>
          <w:szCs w:val="22"/>
        </w:rPr>
        <w:t xml:space="preserve">Bij het tweede voorstel (alles als event) is het gevaar dat "Saïda" te snel toegeeft dat meer altijd beter is. Grijp in als dat gebeurt en vraag: "zou jij dit item, over een jaar, echt aan een bezwaarcommissie voorleggen?"</w:t>
      </w:r>
    </w:p>
    <w:p>
      <w:pPr>
        <w:spacing w:after="140" w:line="300"/>
      </w:pPr>
      <w:r>
        <w:rPr>
          <w:rFonts w:ascii="Calibri" w:cs="Calibri" w:eastAsia="Calibri" w:hAnsi="Calibri"/>
          <w:b/>
          <w:bCs/>
          <w:i w:val="false"/>
          <w:iCs w:val="false"/>
          <w:sz w:val="22"/>
          <w:szCs w:val="22"/>
        </w:rPr>
        <w:t xml:space="preserve">Opdracht 6.</w:t>
      </w:r>
      <w:r>
        <w:rPr>
          <w:rFonts w:ascii="Calibri" w:cs="Calibri" w:eastAsia="Calibri" w:hAnsi="Calibri"/>
          <w:b w:val="false"/>
          <w:bCs w:val="false"/>
          <w:i w:val="false"/>
          <w:iCs w:val="false"/>
          <w:sz w:val="22"/>
          <w:szCs w:val="22"/>
        </w:rPr>
        <w:t xml:space="preserve"> Stuur op de kern: een domain event ontstaat altijd binnen de grens die een aggregate root bewaakt. Als de groep dit lastig vindt te verwoorden, vraag dan: "als er geen aggregate zou zijn die bepaalt of een wijziging geldig is, wie garandeert dan dat het event dat we vastleggen ook werkelijk een geldig feit beschrijft?"</w:t>
      </w:r>
    </w:p>
    <w:p>
      <w:pPr>
        <w:pStyle w:val="Heading2"/>
        <w:spacing w:after="120" w:before="200"/>
      </w:pPr>
      <w:r>
        <w:rPr>
          <w:rFonts w:ascii="Georgia" w:cs="Georgia" w:eastAsia="Georgia" w:hAnsi="Georgia"/>
          <w:b/>
          <w:bCs/>
          <w:color w:val="2C5AA0"/>
          <w:sz w:val="28"/>
          <w:szCs w:val="28"/>
        </w:rPr>
        <w:t xml:space="preserve">5. Veelgemaakte fouten en hoe je erop reageert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ziet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er speelt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doet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"Domain event = een logregel in het systeem"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Verwarring met technische logging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Herhaal: een domain event spreekt domeintaal en zou een domeinexpert iets zeggen; een technische log niet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Elk veldje wordt een apart event, ook triviale correcties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Overcorrectie na het zien van het notitieveld-incident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Herhaal de significantietoets: zou een domeinexpert dit over een jaar willen naslaan?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fout event wordt "gecorrigeerd" door het aan te passen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onveranderlijkheid wordt nog niet volledig doorleefd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Herinner aan Rutgers formulering: een correctie is een nieuw event, nooit een wijziging van het oude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Opdrachten en events worden door elkaar gebruikt ("Bedrag toekennen" als event-naam)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verschil tussen toekomst en verleden is nog niet scherp</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"heeft dit al plaatsgevonden, of moet het nog gebeuren?"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Vijfde veld blijft algemeen ("dat is fijn om te weten")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Ontwijking van de concrete consequentie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"wie kan straks iets niet meer beantwoorden, en aan wie?"</w:t>
            </w:r>
          </w:p>
        </w:tc>
      </w:tr>
    </w:tbl>
    <w:p>
      <w:pPr>
        <w:pStyle w:val="Heading2"/>
        <w:spacing w:after="120" w:before="200"/>
      </w:pPr>
      <w:r>
        <w:rPr>
          <w:rFonts w:ascii="Georgia" w:cs="Georgia" w:eastAsia="Georgia" w:hAnsi="Georgia"/>
          <w:b/>
          <w:bCs/>
          <w:color w:val="2C5AA0"/>
          <w:sz w:val="28"/>
          <w:szCs w:val="28"/>
        </w:rPr>
        <w:t xml:space="preserve">6. Beoordeling</w:t>
      </w:r>
    </w:p>
    <w:p>
      <w:pPr>
        <w:spacing w:after="140" w:line="300"/>
      </w:pPr>
      <w:r>
        <w:rPr>
          <w:rFonts w:ascii="Calibri" w:cs="Calibri" w:eastAsia="Calibri" w:hAnsi="Calibri"/>
          <w:b w:val="false"/>
          <w:bCs w:val="false"/>
          <w:i w:val="false"/>
          <w:iCs w:val="false"/>
          <w:sz w:val="22"/>
          <w:szCs w:val="22"/>
        </w:rPr>
        <w:t xml:space="preserve">Deel 7 wordt niet becijferd. Wel houd je per deelnemer bij of de gebeurtenislijst uit opdracht 4 aan drie eisen voldoet; dat is het zevende ijkpunt voor de capstone in deel 10. Noteer alleen: voldoet / voldoet met hulp / voldoet niet.</w:t>
      </w:r>
    </w:p>
    <w:p>
      <w:pPr>
        <w:spacing w:after="140" w:line="300"/>
      </w:pPr>
      <w:r>
        <w:rPr>
          <w:rFonts w:ascii="Calibri" w:cs="Calibri" w:eastAsia="Calibri" w:hAnsi="Calibri"/>
          <w:b w:val="false"/>
          <w:bCs w:val="false"/>
          <w:i w:val="false"/>
          <w:iCs w:val="false"/>
          <w:sz w:val="22"/>
          <w:szCs w:val="22"/>
        </w:rPr>
        <w:t xml:space="preserve">Drie eisen, ter herinnering: elke gebeurtenis is benoemd in verleden tijd en domeintaal; de significantie is onderbouwd met een concrete situatie, niet met "dit lijkt belangrijk"; het vijfde veld benoemt een concrete consequentie met een rol of naam erbij.</w:t>
      </w:r>
    </w:p>
    <w:p>
      <w:pPr>
        <w:pStyle w:val="Heading2"/>
        <w:spacing w:after="120" w:before="200"/>
      </w:pPr>
      <w:r>
        <w:rPr>
          <w:rFonts w:ascii="Georgia" w:cs="Georgia" w:eastAsia="Georgia" w:hAnsi="Georgia"/>
          <w:b/>
          <w:bCs/>
          <w:color w:val="2C5AA0"/>
          <w:sz w:val="28"/>
          <w:szCs w:val="28"/>
        </w:rPr>
        <w:t xml:space="preserve">7. Materiaal</w:t>
      </w:r>
    </w:p>
    <w:p>
      <w:pPr>
        <w:pStyle w:val="ListParagraph"/>
        <w:numPr>
          <w:ilvl w:val="0"/>
          <w:numId w:val="1"/>
        </w:numPr>
        <w:spacing w:after="80"/>
      </w:pPr>
      <w:r>
        <w:rPr>
          <w:rFonts w:ascii="Calibri" w:cs="Calibri" w:eastAsia="Calibri" w:hAnsi="Calibri"/>
          <w:sz w:val="22"/>
          <w:szCs w:val="22"/>
        </w:rPr>
        <w:t xml:space="preserve">Casusdossier niveau 1</w:t>
      </w:r>
    </w:p>
    <w:p>
      <w:pPr>
        <w:pStyle w:val="ListParagraph"/>
        <w:numPr>
          <w:ilvl w:val="0"/>
          <w:numId w:val="1"/>
        </w:numPr>
        <w:spacing w:after="80"/>
      </w:pPr>
      <w:r>
        <w:rPr>
          <w:rFonts w:ascii="Calibri" w:cs="Calibri" w:eastAsia="Calibri" w:hAnsi="Calibri"/>
          <w:sz w:val="22"/>
          <w:szCs w:val="22"/>
        </w:rPr>
        <w:t xml:space="preserve">Werkboek deel 7, inclusief dossierstukken 7-A, 7-B en 7-C</w:t>
      </w:r>
    </w:p>
    <w:p>
      <w:pPr>
        <w:pStyle w:val="ListParagraph"/>
        <w:numPr>
          <w:ilvl w:val="0"/>
          <w:numId w:val="1"/>
        </w:numPr>
        <w:spacing w:after="80"/>
      </w:pPr>
      <w:r>
        <w:rPr>
          <w:rFonts w:ascii="Calibri" w:cs="Calibri" w:eastAsia="Calibri" w:hAnsi="Calibri"/>
          <w:sz w:val="22"/>
          <w:szCs w:val="22"/>
        </w:rPr>
        <w:t xml:space="preserve">Slidedeck deel 7</w:t>
      </w:r>
    </w:p>
    <w:p>
      <w:pPr>
        <w:pStyle w:val="ListParagraph"/>
        <w:numPr>
          <w:ilvl w:val="0"/>
          <w:numId w:val="1"/>
        </w:numPr>
        <w:spacing w:after="80"/>
      </w:pPr>
      <w:r>
        <w:rPr>
          <w:rFonts w:ascii="Calibri" w:cs="Calibri" w:eastAsia="Calibri" w:hAnsi="Calibri"/>
          <w:sz w:val="22"/>
          <w:szCs w:val="22"/>
        </w:rPr>
        <w:t xml:space="preserve">Flap-over voor de openingsvraag</w:t>
      </w:r>
    </w:p>
    <w:p>
      <w:pPr>
        <w:pStyle w:val="ListParagraph"/>
        <w:numPr>
          <w:ilvl w:val="0"/>
          <w:numId w:val="1"/>
        </w:numPr>
        <w:spacing w:after="80"/>
      </w:pPr>
      <w:r>
        <w:rPr>
          <w:rFonts w:ascii="Calibri" w:cs="Calibri" w:eastAsia="Calibri" w:hAnsi="Calibri"/>
          <w:sz w:val="22"/>
          <w:szCs w:val="22"/>
        </w:rPr>
        <w:t xml:space="preserve">Blanco gebeurtenislijst-invulbladen, minstens drie per deelnemer</w:t>
      </w:r>
    </w:p>
    <w:p>
      <w:pPr>
        <w:pStyle w:val="ListParagraph"/>
        <w:numPr>
          <w:ilvl w:val="0"/>
          <w:numId w:val="1"/>
        </w:numPr>
        <w:spacing w:after="80"/>
      </w:pPr>
      <w:r>
        <w:rPr>
          <w:rFonts w:ascii="Calibri" w:cs="Calibri" w:eastAsia="Calibri" w:hAnsi="Calibri"/>
          <w:sz w:val="22"/>
          <w:szCs w:val="22"/>
        </w:rPr>
        <w:t xml:space="preserve">Aggregaatschets van de deelnemer uit deel 6, voor de vergelijking in opdracht 6</w:t>
      </w:r>
    </w:p>
    <w:p>
      <w:pPr>
        <w:pStyle w:val="Heading2"/>
        <w:spacing w:after="120" w:before="200"/>
      </w:pPr>
      <w:r>
        <w:rPr>
          <w:rFonts w:ascii="Georgia" w:cs="Georgia" w:eastAsia="Georgia" w:hAnsi="Georgia"/>
          <w:b/>
          <w:bCs/>
          <w:color w:val="2C5AA0"/>
          <w:sz w:val="28"/>
          <w:szCs w:val="28"/>
        </w:rPr>
        <w:t xml:space="preserve">8. Aantekeningen voor de docent over de examenlijn</w:t>
      </w:r>
    </w:p>
    <w:p>
      <w:pPr>
        <w:pStyle w:val="ListParagraph"/>
        <w:numPr>
          <w:ilvl w:val="0"/>
          <w:numId w:val="1"/>
        </w:numPr>
        <w:spacing w:after="80"/>
      </w:pPr>
      <w:r>
        <w:rPr>
          <w:rFonts w:ascii="Calibri" w:cs="Calibri" w:eastAsia="Calibri" w:hAnsi="Calibri"/>
          <w:sz w:val="22"/>
          <w:szCs w:val="22"/>
        </w:rPr>
        <w:t xml:space="preserve">"Domain event" staat letterlijk in de tactische bouwstenenreeks van het officiële curriculum van de iSAQB Advanced-module DDD, direct na aggregate. Dit deel is dus kernstof.</w:t>
      </w:r>
    </w:p>
    <w:p>
      <w:pPr>
        <w:pStyle w:val="ListParagraph"/>
        <w:numPr>
          <w:ilvl w:val="0"/>
          <w:numId w:val="1"/>
        </w:numPr>
        <w:spacing w:after="80"/>
      </w:pPr>
      <w:r>
        <w:rPr>
          <w:rFonts w:ascii="Calibri" w:cs="Calibri" w:eastAsia="Calibri" w:hAnsi="Calibri"/>
          <w:sz w:val="22"/>
          <w:szCs w:val="22"/>
        </w:rPr>
        <w:t xml:space="preserve">Herhaal, indien gevraagd, de positionering: deze cursus bereidt voor op de module, levert zelf geen certificaat, en credit points zijn alleen te verzilveren via een erkende iSAQB-trainingsprovider.</w:t>
      </w:r>
    </w:p>
    <w:p>
      <w:pPr>
        <w:pStyle w:val="ListParagraph"/>
        <w:numPr>
          <w:ilvl w:val="0"/>
          <w:numId w:val="1"/>
        </w:numPr>
        <w:spacing w:after="80"/>
      </w:pPr>
      <w:r>
        <w:rPr>
          <w:rFonts w:ascii="Calibri" w:cs="Calibri" w:eastAsia="Calibri" w:hAnsi="Calibri"/>
          <w:sz w:val="22"/>
          <w:szCs w:val="22"/>
        </w:rPr>
        <w:t xml:space="preserve">Deelnemers vragen soms naar "event sourcing" als ze het woord domain event horen — leg uit dat dit deel gaat over het conceptuele idee van een onveranderlijk feit, niet over een specifieke opslagtechniek. Event sourcing als implementatietechniek komt pas in niveau 2, deel 18 en 19, kort aan bod, met het Locked Platform als één noemenswaardig voorbeeld. Behandel dat hier niet, ook niet als een deelnemer er zelf naar vraagt — verwijs door.</w:t>
      </w:r>
    </w:p>
    <w:p>
      <w:pPr>
        <w:pStyle w:val="ListParagraph"/>
        <w:numPr>
          <w:ilvl w:val="0"/>
          <w:numId w:val="1"/>
        </w:numPr>
        <w:spacing w:after="80"/>
      </w:pPr>
      <w:r>
        <w:rPr>
          <w:rFonts w:ascii="Calibri" w:cs="Calibri" w:eastAsia="Calibri" w:hAnsi="Calibri"/>
          <w:sz w:val="22"/>
          <w:szCs w:val="22"/>
        </w:rPr>
        <w:t xml:space="preserve">In niveau 2, deel 21, komen domain events terug in een heel andere rol: als integratiemiddel tussen bounded contexts. Dat is nu nog niet aan de orde — vermeld het als vooruitblik als een deelnemer ernaar vraagt, maar behandel het hier niet.</w:t>
      </w:r>
    </w:p>
    <w:p>
      <w:pPr>
        <w:pStyle w:val="ListParagraph"/>
        <w:numPr>
          <w:ilvl w:val="0"/>
          <w:numId w:val="1"/>
        </w:numPr>
        <w:spacing w:after="80"/>
      </w:pPr>
      <w:r>
        <w:rPr>
          <w:rFonts w:ascii="Calibri" w:cs="Calibri" w:eastAsia="Calibri" w:hAnsi="Calibri"/>
          <w:sz w:val="22"/>
          <w:szCs w:val="22"/>
        </w:rPr>
        <w:t xml:space="preserve">Vanaf deel 8 leert het team waar het gedrag hoort dat deze gebeurtenissen veroorzaakt en verwerkt. Benoem uitdrukkelijk dat dat een vervolgvraag is op dit deel: het domain event legt vast wát er gebeurt, de komende bouwstenen bepalen wáár in het model dat gedrag thuishoort.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1 · Deel 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2026-08-16T19:17:59.527Z</dcterms:created>
  <dcterms:modified xsi:type="dcterms:W3CDTF">2026-08-16T19:17:59.527Z</dcterms:modified>
</cp:coreProperties>
</file>

<file path=docProps/custom.xml><?xml version="1.0" encoding="utf-8"?>
<Properties xmlns="http://schemas.openxmlformats.org/officeDocument/2006/custom-properties" xmlns:vt="http://schemas.openxmlformats.org/officeDocument/2006/docPropsVTypes"/>
</file>