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8 — Domain service, factory, repository</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8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8 is het deel waarin het model dat het team sinds deel 5 heeft opgebouwd — entity, value object, aggregate, domain event — voor het eerst daadwerkelijk werkend wordt gemaakt. Waar de eerdere delen antwoord gaven op "wat is het domein" en "wat is er gebeurd", geeft dit deel antwoord op "waar hoort het gedrag dat dit alles laat functioneren". Het is tegelijk het laatste deel waarin een nieuwe tactische bouwsteen wordt geïntroduceerd voordat niveau 1 zich in deel 9 naar de bounded context beweegt — deel 8 sluit daarmee het tactische fundament van de cursus af. Zorg dat deelnemers aan het eind van dit deel het gevoel hebben dat ze alle zeven bouwstenen (entity, value object, aggregate, domain event, domain service, factory, repository) als één samenhangend geheel kunnen toepassen, niet als zeven losse definities.</w:t>
      </w:r>
    </w:p>
    <w:p>
      <w:pPr>
        <w:pStyle w:val="ListParagraph"/>
        <w:numPr>
          <w:ilvl w:val="0"/>
          <w:numId w:val="1"/>
        </w:numPr>
        <w:spacing w:after="80"/>
      </w:pPr>
      <w:r>
        <w:rPr>
          <w:rFonts w:ascii="Calibri" w:cs="Calibri" w:eastAsia="Calibri" w:hAnsi="Calibri"/>
          <w:sz w:val="22"/>
          <w:szCs w:val="22"/>
        </w:rPr>
        <w:t xml:space="preserve">**Module-onderdeel:** rechtstreeks het curriculumonderdeel "service, factory, repository" van de iSAQB Advanced-module DDD.</w:t>
      </w:r>
    </w:p>
    <w:p>
      <w:pPr>
        <w:pStyle w:val="ListParagraph"/>
        <w:numPr>
          <w:ilvl w:val="0"/>
          <w:numId w:val="1"/>
        </w:numPr>
        <w:spacing w:after="80"/>
      </w:pPr>
      <w:r>
        <w:rPr>
          <w:rFonts w:ascii="Calibri" w:cs="Calibri" w:eastAsia="Calibri" w:hAnsi="Calibri"/>
          <w:sz w:val="22"/>
          <w:szCs w:val="22"/>
        </w:rPr>
        <w:t xml:space="preserve">**Werkvorm:** de bouwsteenkaart.</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7 afgerond, gebeurtenislijst uit deel 7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7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Drie bouwstenen voor drie soorten behoefte; de casus van de drie vastlopende taken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herken de drie behoeften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weerleg Daans eerste voorstel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bouwsteenkaart: de vier vragen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waarom geen simpele constructie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bouwsteenkaart uitvoeren (twee situaties)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terug naar deel 5 t/m 7,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9 en afsluiting tactisch fundament</w:t>
            </w:r>
          </w:p>
        </w:tc>
      </w:tr>
    </w:tbl>
    <w:p>
      <w:pPr>
        <w:spacing w:after="140" w:line="300"/>
      </w:pPr>
      <w:r>
        <w:rPr>
          <w:rFonts w:ascii="Calibri" w:cs="Calibri" w:eastAsia="Calibri" w:hAnsi="Calibri"/>
          <w:b w:val="false"/>
          <w:bCs w:val="false"/>
          <w:i w:val="false"/>
          <w:iCs w:val="false"/>
          <w:sz w:val="22"/>
          <w:szCs w:val="22"/>
        </w:rPr>
        <w:t xml:space="preserve">Loop je uit, dan schrap je opdracht 3 en verwerk je het factory-argument mondeling bij de introductie van de bouwsteenkaart. Schrap nooit opdracht 5: het rollenspel oefent de twee kanten van dezelfde valkuil (alles op één plek, alles apart) en is het enige onderdeel dat deelnemers dwingt om de vier vragen van de bouwsteenkaart in een levend gesprek toe te passen in plaats van alleen op papier.</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definities van domain service, factory en repository.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*"We hebben nu een aggregate dat precies bepaalt wanneer een dossier consistent is, en gebeurtenissen die vastleggen wat erin is gebeurd. Maar wie berekent iets dat over twee dingen tegelijk gaat? Wie laat een nieuw dossier ontstaan? En wie geeft je een bestaand dossier terug als je het nodig hebt?"*</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Veelvoorkomende antwoorden: "dat zet je toch gewoon op het dossier", "een los stukje code ergens", "een soort hulpfunctie". Bewaar de flap: aan het eind van dit deel kom je terug op de vraag welke van deze antwoorden overeenkomen met de drie bouwstenen en welke te vaag blijven.</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Drie bouwstenen voor drie soorten behoefte (0:15-0:50).</w:t>
      </w:r>
      <w:r>
        <w:rPr>
          <w:rFonts w:ascii="Calibri" w:cs="Calibri" w:eastAsia="Calibri" w:hAnsi="Calibri"/>
          <w:b w:val="false"/>
          <w:bCs w:val="false"/>
          <w:i w:val="false"/>
          <w:iCs w:val="false"/>
          <w:sz w:val="22"/>
          <w:szCs w:val="22"/>
        </w:rPr>
        <w:t xml:space="preserve"> Vermijd de valkuil om de drie bouwstenen los van elkaar te introduceren als drie aparte definities. Bouw ze in plaats daarvan op vanuit de drie situaties in de casus: Rutgers berekening, Willemijns ontstaansvraag, Tijmens terugvindvraag. Laat de groep zelf het patroon ontdekken (gedrag zonder eigenaar / ontstaan / terugvinden) voordat je de namen introduceert.</w:t>
      </w:r>
    </w:p>
    <w:p>
      <w:pPr>
        <w:spacing w:after="140" w:line="300"/>
      </w:pPr>
      <w:r>
        <w:rPr>
          <w:rFonts w:ascii="Calibri" w:cs="Calibri" w:eastAsia="Calibri" w:hAnsi="Calibri"/>
          <w:b/>
          <w:bCs/>
          <w:i w:val="false"/>
          <w:iCs w:val="false"/>
          <w:sz w:val="22"/>
          <w:szCs w:val="22"/>
        </w:rPr>
        <w:t xml:space="preserve">De casus (0:15-0:50).</w:t>
      </w:r>
      <w:r>
        <w:rPr>
          <w:rFonts w:ascii="Calibri" w:cs="Calibri" w:eastAsia="Calibri" w:hAnsi="Calibri"/>
          <w:b w:val="false"/>
          <w:bCs w:val="false"/>
          <w:i w:val="false"/>
          <w:iCs w:val="false"/>
          <w:sz w:val="22"/>
          <w:szCs w:val="22"/>
        </w:rPr>
        <w:t xml:space="preserve"> Laat de groep, voordat je de reader-analyse voorleest, zelf benoemen waarom Daans voorstel (alles op het dossier) niet werkt voor alle drie de situaties. Dat voorkomt dat deelnemers de drie bouwstenen als drie losse trucjes onthouden in plaats van als antwoorden op een terugkerend patroon.</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Deze opdracht is bewust kort en dient als warming-up voor het onderscheid tussen de drie soorten behoefte. Bespreek kort klassikaal of iedereen tot dezelfde indeling komt.</w:t>
      </w:r>
    </w:p>
    <w:p>
      <w:pPr>
        <w:spacing w:after="140" w:line="300"/>
      </w:pPr>
      <w:r>
        <w:rPr>
          <w:rFonts w:ascii="Calibri" w:cs="Calibri" w:eastAsia="Calibri" w:hAnsi="Calibri"/>
          <w:b/>
          <w:bCs/>
          <w:i w:val="false"/>
          <w:iCs w:val="false"/>
          <w:sz w:val="22"/>
          <w:szCs w:val="22"/>
        </w:rPr>
        <w:t xml:space="preserve">Opdracht 2.</w:t>
      </w:r>
      <w:r>
        <w:rPr>
          <w:rFonts w:ascii="Calibri" w:cs="Calibri" w:eastAsia="Calibri" w:hAnsi="Calibri"/>
          <w:b w:val="false"/>
          <w:bCs w:val="false"/>
          <w:i w:val="false"/>
          <w:iCs w:val="false"/>
          <w:sz w:val="22"/>
          <w:szCs w:val="22"/>
        </w:rPr>
        <w:t xml:space="preserve"> Laat deelnemers concreet maken wat er in de praktijk van Nabestaandenzaken zou gebeuren als Daans voorstel was doorgevoerd, in plaats van het bij een abstract "dat wordt rommelig" te laten — vergelijkbaar met hoe opdracht 2 in deel 6 werkte voor Rutgers eerste voorstel daar.</w:t>
      </w:r>
    </w:p>
    <w:p>
      <w:pPr>
        <w:spacing w:after="140" w:line="300"/>
      </w:pPr>
      <w:r>
        <w:rPr>
          <w:rFonts w:ascii="Calibri" w:cs="Calibri" w:eastAsia="Calibri" w:hAnsi="Calibri"/>
          <w:b/>
          <w:bCs/>
          <w:i w:val="false"/>
          <w:iCs w:val="false"/>
          <w:sz w:val="22"/>
          <w:szCs w:val="22"/>
        </w:rPr>
        <w:t xml:space="preserve">De bouwsteenkaart (1:40-1:55).</w:t>
      </w:r>
      <w:r>
        <w:rPr>
          <w:rFonts w:ascii="Calibri" w:cs="Calibri" w:eastAsia="Calibri" w:hAnsi="Calibri"/>
          <w:b w:val="false"/>
          <w:bCs w:val="false"/>
          <w:i w:val="false"/>
          <w:iCs w:val="false"/>
          <w:sz w:val="22"/>
          <w:szCs w:val="22"/>
        </w:rPr>
        <w:t xml:space="preserve"> Benoem uitdrukkelijk dat het vijfde, afsluitende veld hetzelfde terugkerende patroon volgt als de eerdere instrumenten. Besteed relatief veel tijd aan vraag 2 ("heeft dit een natuurlijke eigenaar?") — dat is de vraag die het onderscheid maakt tussen "dit hoort gewoon bij de aggregate" en "dit heeft een van de drie nieuwe bouwstenen nodig", en waar deelnemers het vaakst te snel "nee" antwoorden zonder goed te zoeken.</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Dit is de plek waar het risico van een ontbrekende factory het scherpst wordt. Laat deelnemers het scenario echt doorrekenen: welke twee regels zouden elkaar tegenspreken, en wie zou dat als eerste merken?</w:t>
      </w:r>
    </w:p>
    <w:p>
      <w:pPr>
        <w:spacing w:after="140" w:line="300"/>
      </w:pPr>
      <w:r>
        <w:rPr>
          <w:rFonts w:ascii="Calibri" w:cs="Calibri" w:eastAsia="Calibri" w:hAnsi="Calibri"/>
          <w:b/>
          <w:bCs/>
          <w:i w:val="false"/>
          <w:iCs w:val="false"/>
          <w:sz w:val="22"/>
          <w:szCs w:val="22"/>
        </w:rPr>
        <w:t xml:space="preserve">Opdracht 4.</w:t>
      </w:r>
      <w:r>
        <w:rPr>
          <w:rFonts w:ascii="Calibri" w:cs="Calibri" w:eastAsia="Calibri" w:hAnsi="Calibri"/>
          <w:b w:val="false"/>
          <w:bCs w:val="false"/>
          <w:i w:val="false"/>
          <w:iCs w:val="false"/>
          <w:sz w:val="22"/>
          <w:szCs w:val="22"/>
        </w:rPr>
        <w:t xml:space="preserve"> Laat deelnemers hun ingevulde bouwsteenkaarten voorlezen, voor beide situaties. Let specifiek op vraag 4 (waarom niet op het aggregate) — deelnemers vergeten hier vaak terug te verwijzen naar wat de aggregate uit deel 6 al bewaakt, en blijven steken bij "dat past er gewoon niet bij" zonder onderbouwing.</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Twee aanwijzingen:</w:t>
      </w:r>
    </w:p>
    <w:p>
      <w:pPr>
        <w:pStyle w:val="ListParagraph"/>
        <w:numPr>
          <w:ilvl w:val="0"/>
          <w:numId w:val="1"/>
        </w:numPr>
        <w:spacing w:after="80"/>
      </w:pPr>
      <w:r>
        <w:rPr>
          <w:rFonts w:ascii="Calibri" w:cs="Calibri" w:eastAsia="Calibri" w:hAnsi="Calibri"/>
          <w:sz w:val="22"/>
          <w:szCs w:val="22"/>
        </w:rPr>
        <w:t xml:space="preserve">Laat "Daan" bij het eerste voorstel de eenvoud-redenering ("minder soorten bouwstenen is makkelijker") serieus spelen — dat is een redelijk klinkend argument dat "Rutger" moet weerleggen met een concreet gevolg, niet met een principieel "dat hoort niet zo".</w:t>
      </w:r>
    </w:p>
    <w:p>
      <w:pPr>
        <w:pStyle w:val="ListParagraph"/>
        <w:numPr>
          <w:ilvl w:val="0"/>
          <w:numId w:val="1"/>
        </w:numPr>
        <w:spacing w:after="80"/>
      </w:pPr>
      <w:r>
        <w:rPr>
          <w:rFonts w:ascii="Calibri" w:cs="Calibri" w:eastAsia="Calibri" w:hAnsi="Calibri"/>
          <w:sz w:val="22"/>
          <w:szCs w:val="22"/>
        </w:rPr>
        <w:t xml:space="preserve">Bij het tweede voorstel (alles apart) is het risico dat "Rutger" te snel meegaat. Grijp in als dat gebeurt en vraag: "heeft dit stukje gedrag nou echt geen voor de hand liggende eigenaar, of is dat te makkelijk geconcludeerd?"</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kern: deze drie bouwstenen maken het verschil tussen een model dat correct beschrijft en een model dat werkt. Als de groep dit lastig vindt te verwoorden, vraag dan: "stel dat we alleen entity, value object, aggregate en domain event hadden — zou het Nabestaandenloket dan al bruikbaar zijn?"</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Alle nieuw gedrag wordt op de aggregate root gezet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Onduidelijkheid over wanneer iets géén natuurlijke eigenaar heeft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"houdt dit gedrag zelf iets vast dat door de tijd heen bewaakt moet worden, of rekent het alleen?"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Domain service krijgt eigen toestand of "onthoudt" iets tussen aanroepen door</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service en entity</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een domain service is stateless — elke aanroep staat op zichzelf</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Factory wordt overgeslagen, "want de aggregate bewaakt toch al alles"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onderscheid tussen bewaken-tijdens-bestaan en bewaken-bij-ontstaan is nog niet scherp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Wijs op het BRP-signaal-voorbeeld: vóór het dossier bestaat, is er nog geen aggregate root om te bewaken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Repository wordt gebruikt om ook losse onderdelen van een aggregate op te halen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Vergeten dat repository uitsluitend op root-niveau werkt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alles binnen de grens loopt via de root, ook bij het ophalen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is netter zo")</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loopt hier concreet tegenaan, en in welke situatie?"</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8 wordt niet becijferd. Wel houd je per deelnemer bij of de bouwsteenkaart uit opdracht 4 aan drie eisen voldoet; dat is het achtste en laatste ijkpunt voor de capstone in deel 10 dat rechtstreeks uit een tactisch instrument voortkomt.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de juiste bouwsteen is gekozen met een onderbouwing die teruggrijpt op de vier vragen, niet op intuïtie; vraag 4 (waarom niet op het aggregate) verwijst expliciet terug naar wat het aggregate uit deel 6 bewaakt;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8, inclusief dossierstukken 8-A, 8-B en 8-C</w:t>
      </w:r>
    </w:p>
    <w:p>
      <w:pPr>
        <w:pStyle w:val="ListParagraph"/>
        <w:numPr>
          <w:ilvl w:val="0"/>
          <w:numId w:val="1"/>
        </w:numPr>
        <w:spacing w:after="80"/>
      </w:pPr>
      <w:r>
        <w:rPr>
          <w:rFonts w:ascii="Calibri" w:cs="Calibri" w:eastAsia="Calibri" w:hAnsi="Calibri"/>
          <w:sz w:val="22"/>
          <w:szCs w:val="22"/>
        </w:rPr>
        <w:t xml:space="preserve">Slidedeck deel 8</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bouwsteenkaart-invulbladen, minstens vier per deelnemer (twee situaties in opdracht 4, ruimte voor extra oefening)</w:t>
      </w:r>
    </w:p>
    <w:p>
      <w:pPr>
        <w:pStyle w:val="ListParagraph"/>
        <w:numPr>
          <w:ilvl w:val="0"/>
          <w:numId w:val="1"/>
        </w:numPr>
        <w:spacing w:after="80"/>
      </w:pPr>
      <w:r>
        <w:rPr>
          <w:rFonts w:ascii="Calibri" w:cs="Calibri" w:eastAsia="Calibri" w:hAnsi="Calibri"/>
          <w:sz w:val="22"/>
          <w:szCs w:val="22"/>
        </w:rPr>
        <w:t xml:space="preserve">Gebeurtenislijst van de deelnemer uit deel 7, voor de vergelijking in opdracht 6</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"Service", "factory" en "repository" staan letterlijk, als drieluik, in de tactische bouwstenenreeks van het officiële curriculum van de iSAQB Advanced-module DDD, als afsluiting van diezelfde reeks. Dit deel is dus kernstof, en met dit deel is de volledige tactische reeks van de module behandeld.</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soms of een repository "gewoon een database-object" is. Leg uit dat dit deel het conceptuele idee behandelt — een grens tussen model en opslag — en dat de technische implementatie daarvan buiten deze cursus valt. Verwijs door naar de databasecursus.</w:t>
      </w:r>
    </w:p>
    <w:p>
      <w:pPr>
        <w:pStyle w:val="ListParagraph"/>
        <w:numPr>
          <w:ilvl w:val="0"/>
          <w:numId w:val="1"/>
        </w:numPr>
        <w:spacing w:after="80"/>
      </w:pPr>
      <w:r>
        <w:rPr>
          <w:rFonts w:ascii="Calibri" w:cs="Calibri" w:eastAsia="Calibri" w:hAnsi="Calibri"/>
          <w:sz w:val="22"/>
          <w:szCs w:val="22"/>
        </w:rPr>
        <w:t xml:space="preserve">Vermeld aan het eind van dit deel expliciet dat hiermee de volledige set tactische bouwstenen uit het curriculum is behandeld (entity, value object, aggregate, domain service, domain event, factory, repository) — dat is een goed moment om deelnemers te laten terugkijken op deel 5 tot en met 8 als één geheel, ter voorbereiding op de capstone in deel 10.</w:t>
      </w:r>
    </w:p>
    <w:p>
      <w:pPr>
        <w:pStyle w:val="ListParagraph"/>
        <w:numPr>
          <w:ilvl w:val="0"/>
          <w:numId w:val="1"/>
        </w:numPr>
        <w:spacing w:after="80"/>
      </w:pPr>
      <w:r>
        <w:rPr>
          <w:rFonts w:ascii="Calibri" w:cs="Calibri" w:eastAsia="Calibri" w:hAnsi="Calibri"/>
          <w:sz w:val="22"/>
          <w:szCs w:val="22"/>
        </w:rPr>
        <w:t xml:space="preserve">In niveau 2, deel 18, komen aggregates en de bouwstenen eromheen terug op landschapschaal: consistentiegrenzen bij meerdere teams, met een kort kader over hoe dit doorwerkt in event-sourced implementaties (Locked Platform als voorbeeld). Dat is nu nog niet aan de orde — vermeld het als vooruitblik als een deelnemer ernaar vraagt, maar behandel het hier niet.</w:t>
      </w:r>
    </w:p>
    <w:p>
      <w:pPr>
        <w:pStyle w:val="ListParagraph"/>
        <w:numPr>
          <w:ilvl w:val="0"/>
          <w:numId w:val="1"/>
        </w:numPr>
        <w:spacing w:after="80"/>
      </w:pPr>
      <w:r>
        <w:rPr>
          <w:rFonts w:ascii="Calibri" w:cs="Calibri" w:eastAsia="Calibri" w:hAnsi="Calibri"/>
          <w:sz w:val="22"/>
          <w:szCs w:val="22"/>
        </w:rPr>
        <w:t xml:space="preserve">Vanaf deel 9 verschuift de aandacht van "hoe is één aggregate goed gebouwd" naar "waar loopt de grens van ons hele model ten opzichte van de rest van het landschap" — de laatste stap van niveau 1 vóór de examentraining en capstone in deel 10.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2026-08-16T19:17:59.682Z</dcterms:created>
  <dcterms:modified xsi:type="dcterms:W3CDTF">2026-08-16T19:17:59.682Z</dcterms:modified>
</cp:coreProperties>
</file>

<file path=docProps/custom.xml><?xml version="1.0" encoding="utf-8"?>
<Properties xmlns="http://schemas.openxmlformats.org/officeDocument/2006/custom-properties" xmlns:vt="http://schemas.openxmlformats.org/officeDocument/2006/docPropsVTypes"/>
</file>