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9 — Bounded context: de grens van één model</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9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9 is het scharnierdeel van niveau 1: het introduceert de laatste tactische bouwsteen van het curriculum (de bounded context) en opent tegelijk de deur naar het strategische ontwerp dat in niveau 2 centraal staat. Waar deel 5 tot en met 8 stap voor stap een model hebben opgebouwd — entity, value object, aggregate, domain event, domain service, factory, repository — stelt dit deel de vraag die tot nu toe impliciet bleef: waar houdt dat model eigenlijk op? Zorg dat deelnemers dit deel niet ervaren als "nog een bouwsteen erbij", maar als een omslagpunt: van "hoe bouwen we dit goed" naar "waar liggen de grenzen van wat we bouwen". Dat omslagpunt is precies waar niveau 2 straks verder gaat, op landschapschaal.</w:t>
      </w:r>
    </w:p>
    <w:p>
      <w:pPr>
        <w:pStyle w:val="ListParagraph"/>
        <w:numPr>
          <w:ilvl w:val="0"/>
          <w:numId w:val="1"/>
        </w:numPr>
        <w:spacing w:after="80"/>
      </w:pPr>
      <w:r>
        <w:rPr>
          <w:rFonts w:ascii="Calibri" w:cs="Calibri" w:eastAsia="Calibri" w:hAnsi="Calibri"/>
          <w:sz w:val="22"/>
          <w:szCs w:val="22"/>
        </w:rPr>
        <w:t xml:space="preserve">**Module-onderdeel:** rechtstreeks het curriculumonderdeel "bounded context" van de iSAQB Advanced-module DDD; de opmaat naar het strategische deel van de module (context mapping, EventStorming), dat in niveau 2 aan bod komt.</w:t>
      </w:r>
    </w:p>
    <w:p>
      <w:pPr>
        <w:pStyle w:val="ListParagraph"/>
        <w:numPr>
          <w:ilvl w:val="0"/>
          <w:numId w:val="1"/>
        </w:numPr>
        <w:spacing w:after="80"/>
      </w:pPr>
      <w:r>
        <w:rPr>
          <w:rFonts w:ascii="Calibri" w:cs="Calibri" w:eastAsia="Calibri" w:hAnsi="Calibri"/>
          <w:sz w:val="22"/>
          <w:szCs w:val="22"/>
        </w:rPr>
        <w:t xml:space="preserve">**Werkvorm:** de contextgrens.</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t/m 8 afgerond, bouwsteenkaart uit deel 8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8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"bedoelen we hetzelfde dossier?"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elk model een grens nodig heeft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vergelijk de twee betekenissen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Organisatiegrens, systeemgrens en modelgrens; opdracht 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er gebeurt op de grens; opdracht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contextgrens: de vier vragen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eigen contextgrens uitvoeren (UWV)</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terug naar deel 1 t/m 8,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3:30-3:35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10: examentraining en capstone</w:t>
            </w:r>
          </w:p>
        </w:tc>
      </w:tr>
    </w:tbl>
    <w:p>
      <w:pPr>
        <w:spacing w:after="140" w:line="300"/>
      </w:pPr>
      <w:r>
        <w:rPr>
          <w:rFonts w:ascii="Calibri" w:cs="Calibri" w:eastAsia="Calibri" w:hAnsi="Calibri"/>
          <w:b w:val="false"/>
          <w:bCs w:val="false"/>
          <w:i w:val="false"/>
          <w:iCs w:val="false"/>
          <w:sz w:val="22"/>
          <w:szCs w:val="22"/>
        </w:rPr>
        <w:t xml:space="preserve">Loop je uit, dan verkort je opdracht 3 tot één moment in plaats van twee. Schrap nooit opdracht 5: het rollenspel is de enige plek waar deelnemers de spanning tussen "te weinig grenzen trekken" en "te veel grenzen trekken" allebei zelf moeten verdedigen, in plaats van er alleen over te lezen.</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 van bounded context. Stel de groep deze vraag: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*"Jullie hebben nu zeven bouwstenen die samen het model van het Nabestaandenloket vormen. Als iemand van een andere afdeling — zeg, de polisadministratie — het woord 'dossier' gebruikt, weet je dan zeker dat diegene hetzelfde bedoelt als jullie?"*</w:t>
            </w:r>
          </w:p>
        </w:tc>
      </w:tr>
    </w:tbl>
    <w:p>
      <w:pPr>
        <w:spacing w:after="140" w:line="300"/>
      </w:pPr>
      <w:r>
        <w:rPr>
          <w:rFonts w:ascii="Calibri" w:cs="Calibri" w:eastAsia="Calibri" w:hAnsi="Calibri"/>
          <w:b w:val="false"/>
          <w:bCs w:val="false"/>
          <w:i w:val="false"/>
          <w:iCs w:val="false"/>
          <w:sz w:val="22"/>
          <w:szCs w:val="22"/>
        </w:rPr>
        <w:t xml:space="preserve">Laat de groep hardop nadenken zonder meteen te sturen. De meest voorkomende reactie is een aarzelend "waarschijnlijk wel" — dat is precies de aanname die de casus van dit deel onderuithaalt. Bewaar deze reactie voor de afsluiting.</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deelnemers, voordat je de reader-analyse voorleest, zelf benoemen wat er misgaat als Daans aanname (dossierstuk 9-B) klopt. Het meest waardevolle moment is wanneer een deelnemer zelf bedenkt dat een verkeerde aanname hier pas zichtbaar wordt zodra er daadwerkelijk gekoppeld wordt — vaak veel later dan het moment waarop de aanname is gemaakt.</w:t>
      </w:r>
    </w:p>
    <w:p>
      <w:pPr>
        <w:spacing w:after="140" w:line="300"/>
      </w:pPr>
      <w:r>
        <w:rPr>
          <w:rFonts w:ascii="Calibri" w:cs="Calibri" w:eastAsia="Calibri" w:hAnsi="Calibri"/>
          <w:b/>
          <w:bCs/>
          <w:i w:val="false"/>
          <w:iCs w:val="false"/>
          <w:sz w:val="22"/>
          <w:szCs w:val="22"/>
        </w:rPr>
        <w:t xml:space="preserve">Waarom elk model een grens nodig heeft (0:45-1:05).</w:t>
      </w:r>
      <w:r>
        <w:rPr>
          <w:rFonts w:ascii="Calibri" w:cs="Calibri" w:eastAsia="Calibri" w:hAnsi="Calibri"/>
          <w:b w:val="false"/>
          <w:bCs w:val="false"/>
          <w:i w:val="false"/>
          <w:iCs w:val="false"/>
          <w:sz w:val="22"/>
          <w:szCs w:val="22"/>
        </w:rPr>
        <w:t xml:space="preserve"> Trek nadrukkelijk de vergelijking met deel 3 (domeinindeling): benadruk dat een bounded context iets anders vaststelt dan core/supporting/generic. Deelnemers verwarren deze twee makkelijk omdat ze in de casus vaak samenvallen. Gebruik zo nodig een tegenvoorbeeld: een generiek onderdeel (documentbeheer) kan net zo goed een eigen, strak afgebakende bounded context hebben.</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Laat deelnemers expliciet het onderscheid maken tussen "toeval" (een synoniem) en "andere taak" (een fundamenteel verschil) — dat onderscheid is de kern van vraag 2 in de contextgrens en verdient hier al aandacht.</w:t>
      </w:r>
    </w:p>
    <w:p>
      <w:pPr>
        <w:spacing w:after="140" w:line="300"/>
      </w:pPr>
      <w:r>
        <w:rPr>
          <w:rFonts w:ascii="Calibri" w:cs="Calibri" w:eastAsia="Calibri" w:hAnsi="Calibri"/>
          <w:b/>
          <w:bCs/>
          <w:i w:val="false"/>
          <w:iCs w:val="false"/>
          <w:sz w:val="22"/>
          <w:szCs w:val="22"/>
        </w:rPr>
        <w:t xml:space="preserve">Organisatiegrens, systeemgrens, modelgrens (1:35-1:55).</w:t>
      </w:r>
      <w:r>
        <w:rPr>
          <w:rFonts w:ascii="Calibri" w:cs="Calibri" w:eastAsia="Calibri" w:hAnsi="Calibri"/>
          <w:b w:val="false"/>
          <w:bCs w:val="false"/>
          <w:i w:val="false"/>
          <w:iCs w:val="false"/>
          <w:sz w:val="22"/>
          <w:szCs w:val="22"/>
        </w:rPr>
        <w:t xml:space="preserve"> Gebruik het bord of de flap om de drie soorten grenzen naast elkaar te tekenen (of gebruik figuur 9-2 als uitgangspunt). Laat deelnemers vóór opdracht 2 zelf een voorbeeld bedenken van een mismatch tussen organisatie- en modelgrens, zodat de opdracht niet de eerste keer is dat ze dit onderscheid toepassen.</w:t>
      </w:r>
    </w:p>
    <w:p>
      <w:pPr>
        <w:spacing w:after="140" w:line="300"/>
      </w:pPr>
      <w:r>
        <w:rPr>
          <w:rFonts w:ascii="Calibri" w:cs="Calibri" w:eastAsia="Calibri" w:hAnsi="Calibri"/>
          <w:b/>
          <w:bCs/>
          <w:i w:val="false"/>
          <w:iCs w:val="false"/>
          <w:sz w:val="22"/>
          <w:szCs w:val="22"/>
        </w:rPr>
        <w:t xml:space="preserve">Opdracht 2.</w:t>
      </w:r>
      <w:r>
        <w:rPr>
          <w:rFonts w:ascii="Calibri" w:cs="Calibri" w:eastAsia="Calibri" w:hAnsi="Calibri"/>
          <w:b w:val="false"/>
          <w:bCs w:val="false"/>
          <w:i w:val="false"/>
          <w:iCs w:val="false"/>
          <w:sz w:val="22"/>
          <w:szCs w:val="22"/>
        </w:rPr>
        <w:t xml:space="preserve"> Let op dat deelnemers echt bij het casusdossier blijven en niet in algemene bespiegelingen over "organisaties en modellen" vervallen — vraag door: welke concrete naam, welke concrete situatie?</w:t>
      </w:r>
    </w:p>
    <w:p>
      <w:pPr>
        <w:spacing w:after="140" w:line="300"/>
      </w:pPr>
      <w:r>
        <w:rPr>
          <w:rFonts w:ascii="Calibri" w:cs="Calibri" w:eastAsia="Calibri" w:hAnsi="Calibri"/>
          <w:b/>
          <w:bCs/>
          <w:i w:val="false"/>
          <w:iCs w:val="false"/>
          <w:sz w:val="22"/>
          <w:szCs w:val="22"/>
        </w:rPr>
        <w:t xml:space="preserve">Wat er gebeurt op de grens (1:55-2:15) en opdracht 3.</w:t>
      </w:r>
      <w:r>
        <w:rPr>
          <w:rFonts w:ascii="Calibri" w:cs="Calibri" w:eastAsia="Calibri" w:hAnsi="Calibri"/>
          <w:b w:val="false"/>
          <w:bCs w:val="false"/>
          <w:i w:val="false"/>
          <w:iCs w:val="false"/>
          <w:sz w:val="22"/>
          <w:szCs w:val="22"/>
        </w:rPr>
        <w:t xml:space="preserve"> Wees hier expliciet dat dit deel niet uitwerkt </w:t>
      </w:r>
      <w:r>
        <w:rPr>
          <w:rFonts w:ascii="Calibri" w:cs="Calibri" w:eastAsia="Calibri" w:hAnsi="Calibri"/>
          <w:b w:val="false"/>
          <w:bCs w:val="false"/>
          <w:i/>
          <w:iCs/>
          <w:sz w:val="22"/>
          <w:szCs w:val="22"/>
        </w:rPr>
        <w:t xml:space="preserve">hoe</w:t>
      </w:r>
      <w:r>
        <w:rPr>
          <w:rFonts w:ascii="Calibri" w:cs="Calibri" w:eastAsia="Calibri" w:hAnsi="Calibri"/>
          <w:b w:val="false"/>
          <w:bCs w:val="false"/>
          <w:i w:val="false"/>
          <w:iCs w:val="false"/>
          <w:sz w:val="22"/>
          <w:szCs w:val="22"/>
        </w:rPr>
        <w:t xml:space="preserve"> het Nabestaandenloket zich tot de polisadministratie of het Mutatieplatform verhoudt (dat is context mapping, niveau 2) — alleen </w:t>
      </w:r>
      <w:r>
        <w:rPr>
          <w:rFonts w:ascii="Calibri" w:cs="Calibri" w:eastAsia="Calibri" w:hAnsi="Calibri"/>
          <w:b w:val="false"/>
          <w:bCs w:val="false"/>
          <w:i/>
          <w:iCs/>
          <w:sz w:val="22"/>
          <w:szCs w:val="22"/>
        </w:rPr>
        <w:t xml:space="preserve">dat</w:t>
      </w:r>
      <w:r>
        <w:rPr>
          <w:rFonts w:ascii="Calibri" w:cs="Calibri" w:eastAsia="Calibri" w:hAnsi="Calibri"/>
          <w:b w:val="false"/>
          <w:bCs w:val="false"/>
          <w:i w:val="false"/>
          <w:iCs w:val="false"/>
          <w:sz w:val="22"/>
          <w:szCs w:val="22"/>
        </w:rPr>
        <w:t xml:space="preserve"> er een grens is en waar. Deelnemers die hier al context-mappingpatronen willen toepassen (shared kernel, anti-corruption layer) mag je prijzen voor de intuïtie, maar breng ze terug: dat instrumentarium komt pas in niveau 2.</w:t>
      </w:r>
    </w:p>
    <w:p>
      <w:pPr>
        <w:spacing w:after="140" w:line="300"/>
      </w:pPr>
      <w:r>
        <w:rPr>
          <w:rFonts w:ascii="Calibri" w:cs="Calibri" w:eastAsia="Calibri" w:hAnsi="Calibri"/>
          <w:b/>
          <w:bCs/>
          <w:i w:val="false"/>
          <w:iCs w:val="false"/>
          <w:sz w:val="22"/>
          <w:szCs w:val="22"/>
        </w:rPr>
        <w:t xml:space="preserve">De contextgrens (2:15-2:20).</w:t>
      </w:r>
      <w:r>
        <w:rPr>
          <w:rFonts w:ascii="Calibri" w:cs="Calibri" w:eastAsia="Calibri" w:hAnsi="Calibri"/>
          <w:b w:val="false"/>
          <w:bCs w:val="false"/>
          <w:i w:val="false"/>
          <w:iCs w:val="false"/>
          <w:sz w:val="22"/>
          <w:szCs w:val="22"/>
        </w:rPr>
        <w:t xml:space="preserve"> Benoem uitdrukkelijk dat dit het laatste instrument van niveau 1 is en dat het, net als de vorige zeven, een afsluitend vijfde veld heeft met dezelfde vraag: wat gaat er mis, en wie merkt dat als eerste.</w:t>
      </w:r>
    </w:p>
    <w:p>
      <w:pPr>
        <w:spacing w:after="140" w:line="300"/>
      </w:pPr>
      <w:r>
        <w:rPr>
          <w:rFonts w:ascii="Calibri" w:cs="Calibri" w:eastAsia="Calibri" w:hAnsi="Calibri"/>
          <w:b/>
          <w:bCs/>
          <w:i w:val="false"/>
          <w:iCs w:val="false"/>
          <w:sz w:val="22"/>
          <w:szCs w:val="22"/>
        </w:rPr>
        <w:t xml:space="preserve">Opdracht 4.</w:t>
      </w:r>
      <w:r>
        <w:rPr>
          <w:rFonts w:ascii="Calibri" w:cs="Calibri" w:eastAsia="Calibri" w:hAnsi="Calibri"/>
          <w:b w:val="false"/>
          <w:bCs w:val="false"/>
          <w:i w:val="false"/>
          <w:iCs w:val="false"/>
          <w:sz w:val="22"/>
          <w:szCs w:val="22"/>
        </w:rPr>
        <w:t xml:space="preserve"> Laat deelnemers hardop toelichten waarom "uitkering" bij UWV iets anders is dan "uitkering" bij Meridiaan — dit is inhoudelijk net iets lastiger dan het dossier-voorbeeld omdat het woord zelf identiek klinkt in beide werelden. Grijp in als deelnemers het verschil afdoen als "gewoon een ander bedrag" in plaats van een fundamenteel ander wettelijk kader.</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Twee aanwijzingen:</w:t>
      </w:r>
    </w:p>
    <w:p>
      <w:pPr>
        <w:pStyle w:val="ListParagraph"/>
        <w:numPr>
          <w:ilvl w:val="0"/>
          <w:numId w:val="1"/>
        </w:numPr>
        <w:spacing w:after="80"/>
      </w:pPr>
      <w:r>
        <w:rPr>
          <w:rFonts w:ascii="Calibri" w:cs="Calibri" w:eastAsia="Calibri" w:hAnsi="Calibri"/>
          <w:sz w:val="22"/>
          <w:szCs w:val="22"/>
        </w:rPr>
        <w:t xml:space="preserve">Bij het eerste voorstel (één woord voor beide) moet "Daan" het gemak-argument serieus spelen — het is aantrekkelijk omdat het echt tijd bespaart op de korte termijn. "Willemijn" moet met een concreet, later moment aankomen waarop dat gemak zich terugbetaalt als een fout.</w:t>
      </w:r>
    </w:p>
    <w:p>
      <w:pPr>
        <w:pStyle w:val="ListParagraph"/>
        <w:numPr>
          <w:ilvl w:val="0"/>
          <w:numId w:val="1"/>
        </w:numPr>
        <w:spacing w:after="80"/>
      </w:pPr>
      <w:r>
        <w:rPr>
          <w:rFonts w:ascii="Calibri" w:cs="Calibri" w:eastAsia="Calibri" w:hAnsi="Calibri"/>
          <w:sz w:val="22"/>
          <w:szCs w:val="22"/>
        </w:rPr>
        <w:t xml:space="preserve">Bij het tweede voorstel (overal aparte grenzen) is het risico dat "Willemijn" te snel meegaat uit voorzichtigheid. Grijp in en vraag: "kost het jullie hier daadwerkelijk moeite om elkaar te verstaan, of trek je deze grens uit gewoonte?"</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de kern: elk eerder instrument heeft iets geleverd dat nodig was om deze grens zinvol te kunnen trekken — zonder scherpe eigen taal, geen contrast met de buitenwereld. Als de groep dit lastig vindt, vraag dan: "als we deel 9 hadden gedaan vóór deel 2 (de taalkaart), was dit dan gelukt?"</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Bounded context wordt gelijkgesteld aan afdeling of team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Organisatiegrens en modelgrens worden verward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"praat iedereen in deze afdeling daadwerkelijk dezelfde taal, over alles?"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Bounded context wordt gelijkgesteld aan systeem of database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Systeemgrens en modelgrens worden verward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het dossier-voorbeeld: één woord, twee systemen, twee betekenissen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proberen al uit te werken hóe de relatie met een aangrenzend systeem eruitziet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Vooruitgrijpen op context mapping (niveau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Bevestig de intuïtie, maar wijs erop dat dit deel alleen vaststelt dát en waar de grens ligt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Elk denkbaar systeem krijgt een eigen grens, ook zonder taalverschil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Voorzichtigheid slaat door in overmatige afbakening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"waar merk je concreet verwarring, en waar trek je de grens uit gewoonte?"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blijft algemeen ("dat is verwarrend")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loopt hier concreet tegenaan, en in welke situatie?"</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9 wordt niet becijferd. Wel houd je per deelnemer bij of de contextgrens uit opdracht 4 aan drie eisen voldoet; dit is het laatste ijkpunt vóór de capstone in deel 10, waarin de volledige contextgrens van het Nabestaandenloket-model moet worden verdedigd.</w:t>
      </w:r>
    </w:p>
    <w:p>
      <w:pPr>
        <w:spacing w:after="140" w:line="300"/>
      </w:pPr>
      <w:r>
        <w:rPr>
          <w:rFonts w:ascii="Calibri" w:cs="Calibri" w:eastAsia="Calibri" w:hAnsi="Calibri"/>
          <w:b w:val="false"/>
          <w:bCs w:val="false"/>
          <w:i w:val="false"/>
          <w:iCs w:val="false"/>
          <w:sz w:val="22"/>
          <w:szCs w:val="22"/>
        </w:rPr>
        <w:t xml:space="preserve">Drie eisen, ter herinnering: het onderscheid tussen "toeval" en "andere taak" is expliciet gemaakt en onderbouwd (niet alleen geconstateerd); het overgangspunt waar het gegeven de grens oversteekt is concreet benoemd, niet algemeen omschreven;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9, inclusief dossierstukken 9-A tot en met 9-D</w:t>
      </w:r>
    </w:p>
    <w:p>
      <w:pPr>
        <w:pStyle w:val="ListParagraph"/>
        <w:numPr>
          <w:ilvl w:val="0"/>
          <w:numId w:val="1"/>
        </w:numPr>
        <w:spacing w:after="80"/>
      </w:pPr>
      <w:r>
        <w:rPr>
          <w:rFonts w:ascii="Calibri" w:cs="Calibri" w:eastAsia="Calibri" w:hAnsi="Calibri"/>
          <w:sz w:val="22"/>
          <w:szCs w:val="22"/>
        </w:rPr>
        <w:t xml:space="preserve">Slidedeck deel 9</w:t>
      </w:r>
    </w:p>
    <w:p>
      <w:pPr>
        <w:pStyle w:val="ListParagraph"/>
        <w:numPr>
          <w:ilvl w:val="0"/>
          <w:numId w:val="1"/>
        </w:numPr>
        <w:spacing w:after="80"/>
      </w:pPr>
      <w:r>
        <w:rPr>
          <w:rFonts w:ascii="Calibri" w:cs="Calibri" w:eastAsia="Calibri" w:hAnsi="Calibri"/>
          <w:sz w:val="22"/>
          <w:szCs w:val="22"/>
        </w:rPr>
        <w:t xml:space="preserve">Flap-over of bord voor het naast elkaar tekenen van organisatie-, systeem- en modelgrens</w:t>
      </w:r>
    </w:p>
    <w:p>
      <w:pPr>
        <w:pStyle w:val="ListParagraph"/>
        <w:numPr>
          <w:ilvl w:val="0"/>
          <w:numId w:val="1"/>
        </w:numPr>
        <w:spacing w:after="80"/>
      </w:pPr>
      <w:r>
        <w:rPr>
          <w:rFonts w:ascii="Calibri" w:cs="Calibri" w:eastAsia="Calibri" w:hAnsi="Calibri"/>
          <w:sz w:val="22"/>
          <w:szCs w:val="22"/>
        </w:rPr>
        <w:t xml:space="preserve">Blanco contextgrens-invulbladen, minstens drie per deelnemer</w:t>
      </w:r>
    </w:p>
    <w:p>
      <w:pPr>
        <w:pStyle w:val="ListParagraph"/>
        <w:numPr>
          <w:ilvl w:val="0"/>
          <w:numId w:val="1"/>
        </w:numPr>
        <w:spacing w:after="80"/>
      </w:pPr>
      <w:r>
        <w:rPr>
          <w:rFonts w:ascii="Calibri" w:cs="Calibri" w:eastAsia="Calibri" w:hAnsi="Calibri"/>
          <w:sz w:val="22"/>
          <w:szCs w:val="22"/>
        </w:rPr>
        <w:t xml:space="preserve">Het antwoord van elke deelnemer op opdracht 6 uit deel 8, voor de vergelijking in opdracht 6 van dit deel</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"Bounded context" staat als apart curriculumonderdeel in de iSAQB Advanced-module DDD, aan de grens tussen het tactische en het strategische deel van de module. In deze cursus wordt het tactisch geïntroduceerd (één model, één grens) — de strategische uitwerking (relaties tússen bounded contexts, context mapping) volgt in niveau 2, deel 13 en 14.</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Deelnemers vragen soms of een bounded context "gewoon een microservice" is. Leg uit dat dit deel het conceptuele idee behandelt — een grens van taal en model — en dat de vraag of die grens ook een technische systeemgrens wordt (een aparte service, een apart component) een implementatiekeuze is die hier niet aan de orde is.</w:t>
      </w:r>
    </w:p>
    <w:p>
      <w:pPr>
        <w:pStyle w:val="ListParagraph"/>
        <w:numPr>
          <w:ilvl w:val="0"/>
          <w:numId w:val="1"/>
        </w:numPr>
        <w:spacing w:after="80"/>
      </w:pPr>
      <w:r>
        <w:rPr>
          <w:rFonts w:ascii="Calibri" w:cs="Calibri" w:eastAsia="Calibri" w:hAnsi="Calibri"/>
          <w:sz w:val="22"/>
          <w:szCs w:val="22"/>
        </w:rPr>
        <w:t xml:space="preserve">Vermeld aan het eind van dit deel expliciet dat hiermee alle acht instrumenten van niveau 1 compleet zijn: complexiteitstoets, taalkaart, domeinindeling, modeltoets, objectkeuzeblad, aggregaatschets, gebeurtenislijst, bouwsteenkaart, en nu de contextgrens (negen instrumenten in totaal, één per deel 1 t/m 9). Dat is het uitgangspunt voor de terugblik in deel 10.</w:t>
      </w:r>
    </w:p>
    <w:p>
      <w:pPr>
        <w:pStyle w:val="ListParagraph"/>
        <w:numPr>
          <w:ilvl w:val="0"/>
          <w:numId w:val="1"/>
        </w:numPr>
        <w:spacing w:after="80"/>
      </w:pPr>
      <w:r>
        <w:rPr>
          <w:rFonts w:ascii="Calibri" w:cs="Calibri" w:eastAsia="Calibri" w:hAnsi="Calibri"/>
          <w:sz w:val="22"/>
          <w:szCs w:val="22"/>
        </w:rPr>
        <w:t xml:space="preserve">In niveau 2 komt de relatie tussen bounded contexts terug als hoofdinstrument: deel 11 (het landschap in kaart), deel 13 en 14 (de zeven context-mappingpatronen: partnership, shared kernel, customer/supplier, conformist, anti-corruption layer, open host service/published language). Vermeld dit als vooruitblik als een deelnemer ernaar vraagt, maar werk het hier niet uit — dat zou vooruitlopen op niveau 2.</w:t>
      </w:r>
    </w:p>
    <w:p>
      <w:pPr>
        <w:pStyle w:val="ListParagraph"/>
        <w:numPr>
          <w:ilvl w:val="0"/>
          <w:numId w:val="1"/>
        </w:numPr>
        <w:spacing w:after="80"/>
      </w:pPr>
      <w:r>
        <w:rPr>
          <w:rFonts w:ascii="Calibri" w:cs="Calibri" w:eastAsia="Calibri" w:hAnsi="Calibri"/>
          <w:sz w:val="22"/>
          <w:szCs w:val="22"/>
        </w:rPr>
        <w:t xml:space="preserve">Vanaf deel 10 verschuift de aandacht van "één nieuwe bouwsteen per deel leren" naar "het geheel van niveau 1 verdedigen" — bereid deelnemers erop voor dat deel 10 geen nieuwe theorie meer brengt, maar oefening en verdediging.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2026-08-16T19:17:59.836Z</dcterms:created>
  <dcterms:modified xsi:type="dcterms:W3CDTF">2026-08-16T19:17:59.836Z</dcterms:modified>
</cp:coreProperties>
</file>

<file path=docProps/custom.xml><?xml version="1.0" encoding="utf-8"?>
<Properties xmlns="http://schemas.openxmlformats.org/officeDocument/2006/custom-properties" xmlns:vt="http://schemas.openxmlformats.org/officeDocument/2006/docPropsVTypes"/>
</file>