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9 — Bounded context: de grens van één model</w:t>
      </w:r>
    </w:p>
    <w:p>
      <w:pPr>
        <w:spacing w:after="140" w:line="300"/>
      </w:pPr>
      <w:r>
        <w:rPr>
          <w:rFonts w:ascii="Calibri" w:cs="Calibri" w:eastAsia="Calibri" w:hAnsi="Calibri"/>
          <w:b w:val="false"/>
          <w:bCs w:val="false"/>
          <w:i w:val="false"/>
          <w:iCs w:val="false"/>
          <w:sz w:val="22"/>
          <w:szCs w:val="22"/>
        </w:rPr>
        <w:t xml:space="preserve">Werkboek · Ductus-cursus Domain-Driven Design · niveau 1 · deel 9 van 30</w:t>
      </w:r>
    </w:p>
    <w:p>
      <w:pPr>
        <w:spacing w:after="140" w:line="300"/>
      </w:pPr>
      <w:r>
        <w:rPr>
          <w:rFonts w:ascii="Calibri" w:cs="Calibri" w:eastAsia="Calibri" w:hAnsi="Calibri"/>
          <w:b w:val="false"/>
          <w:bCs w:val="false"/>
          <w:i w:val="false"/>
          <w:iCs w:val="false"/>
          <w:sz w:val="22"/>
          <w:szCs w:val="22"/>
        </w:rPr>
        <w:t xml:space="preserve">Zes opdrachten, samen ongeveer een dagdeel. Opdracht 1 tot en met 4 zijn individueel, opdracht 5 in tweetallen, opdracht 6 plenair. De uitwerkingen staan achterin; werk een opdracht af voordat je die leest.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9-A — Tijmens openingsvraag</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"We hebben het steeds over 'ons dossier'. Maar de polisadministratie kent ook iets dat daar 'dossier' heet. En het toekomstige Mutatieplatform zal ook een woord voor 'een lopend geval' nodig hebben. Bedoelen we daar hetzelfde mee?"</w:t>
            </w:r>
          </w:p>
        </w:tc>
      </w:tr>
    </w:tbl>
    <w:p>
      <w:pPr>
        <w:pStyle w:val="Heading2"/>
        <w:spacing w:after="120" w:before="200"/>
      </w:pPr>
      <w:r>
        <w:rPr>
          <w:rFonts w:ascii="Georgia" w:cs="Georgia" w:eastAsia="Georgia" w:hAnsi="Georgia"/>
          <w:b/>
          <w:bCs/>
          <w:color w:val="2C5AA0"/>
          <w:sz w:val="28"/>
          <w:szCs w:val="28"/>
        </w:rPr>
        <w:t xml:space="preserve">Dossierstuk 9-B — Daans eerste aanname</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"In de polisadministratie is een dossier volgens mij gewoon een verzameling velden bij een deelnemersnummer — adreswijzigingen, een pensioenopbouw, een uitkeringshistorie. Alles wat ooit over die persoon is vastgelegd, in één scherm."</w:t>
            </w:r>
          </w:p>
        </w:tc>
      </w:tr>
    </w:tbl>
    <w:p>
      <w:pPr>
        <w:pStyle w:val="Heading2"/>
        <w:spacing w:after="120" w:before="200"/>
      </w:pPr>
      <w:r>
        <w:rPr>
          <w:rFonts w:ascii="Georgia" w:cs="Georgia" w:eastAsia="Georgia" w:hAnsi="Georgia"/>
          <w:b/>
          <w:bCs/>
          <w:color w:val="2C5AA0"/>
          <w:sz w:val="28"/>
          <w:szCs w:val="28"/>
        </w:rPr>
        <w:t xml:space="preserve">Dossierstuk 9-C — Willemijns weerwoord</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"Dat is niet wat wij bedoelen. Ons dossier gaat over één ding: het vaststellen van het recht op nabestaandenpensioen na een overlijden. Het heeft een begin — een melding — en een eind — een toekenning of afwijzing."</w:t>
            </w:r>
          </w:p>
        </w:tc>
      </w:tr>
    </w:tbl>
    <w:p>
      <w:pPr>
        <w:pStyle w:val="Heading2"/>
        <w:spacing w:after="120" w:before="200"/>
      </w:pPr>
      <w:r>
        <w:rPr>
          <w:rFonts w:ascii="Georgia" w:cs="Georgia" w:eastAsia="Georgia" w:hAnsi="Georgia"/>
          <w:b/>
          <w:bCs/>
          <w:color w:val="2C5AA0"/>
          <w:sz w:val="28"/>
          <w:szCs w:val="28"/>
        </w:rPr>
        <w:t xml:space="preserve">Dossierstuk 9-D — Corné's vraag</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"Waar houdt jullie model op, en wat gebeurt er op het moment dat het de grens over gaat naar de polisadministratie of straks het Mutatieplatform?"</w:t>
            </w:r>
          </w:p>
        </w:tc>
      </w:tr>
    </w:tbl>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 — Vergelijk de twee betekenissen (15 min)</w:t>
      </w:r>
    </w:p>
    <w:p>
      <w:pPr>
        <w:spacing w:after="140" w:line="300"/>
      </w:pPr>
      <w:r>
        <w:rPr>
          <w:rFonts w:ascii="Calibri" w:cs="Calibri" w:eastAsia="Calibri" w:hAnsi="Calibri"/>
          <w:b w:val="false"/>
          <w:bCs w:val="false"/>
          <w:i w:val="false"/>
          <w:iCs w:val="false"/>
          <w:sz w:val="22"/>
          <w:szCs w:val="22"/>
        </w:rPr>
        <w:t xml:space="preserve">Lees dossierstuk 9-B en 9-C. Beschrijf in eigen woorden het verschil tussen "dossier" bij de polisadministratie en "dossier" bij het Nabestaandenloket. Is dit verschil toeval (een synoniem dat net iets anders klinkt) of wijst het op een fundamenteel andere taak? Onderbouw.</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Organisatiegrens versus modelgrens (20 min)</w:t>
      </w:r>
    </w:p>
    <w:p>
      <w:pPr>
        <w:spacing w:after="140" w:line="300"/>
      </w:pPr>
      <w:r>
        <w:rPr>
          <w:rFonts w:ascii="Calibri" w:cs="Calibri" w:eastAsia="Calibri" w:hAnsi="Calibri"/>
          <w:b w:val="false"/>
          <w:bCs w:val="false"/>
          <w:i w:val="false"/>
          <w:iCs w:val="false"/>
          <w:sz w:val="22"/>
          <w:szCs w:val="22"/>
        </w:rPr>
        <w:t xml:space="preserve">De reader stelt dat de organisatiegrens (Nabestaandenzaken valt onder Uitvoering algemeen) niet automatisch de modelgrens is. Bedenk, aan de hand van het casusdossier, een concreet voorbeeld van iemand die formeel </w:t>
      </w:r>
      <w:r>
        <w:rPr>
          <w:rFonts w:ascii="Calibri" w:cs="Calibri" w:eastAsia="Calibri" w:hAnsi="Calibri"/>
          <w:b w:val="false"/>
          <w:bCs w:val="false"/>
          <w:i/>
          <w:iCs/>
          <w:sz w:val="22"/>
          <w:szCs w:val="22"/>
        </w:rPr>
        <w:t xml:space="preserve">niet</w:t>
      </w:r>
      <w:r>
        <w:rPr>
          <w:rFonts w:ascii="Calibri" w:cs="Calibri" w:eastAsia="Calibri" w:hAnsi="Calibri"/>
          <w:b w:val="false"/>
          <w:bCs w:val="false"/>
          <w:i w:val="false"/>
          <w:iCs w:val="false"/>
          <w:sz w:val="22"/>
          <w:szCs w:val="22"/>
        </w:rPr>
        <w:t xml:space="preserve"> bij Nabestaandenzaken hoort maar wél meepraat in de taal van het Nabestaandenloket-model, en een voorbeeld van iets dat formeel </w:t>
      </w:r>
      <w:r>
        <w:rPr>
          <w:rFonts w:ascii="Calibri" w:cs="Calibri" w:eastAsia="Calibri" w:hAnsi="Calibri"/>
          <w:b w:val="false"/>
          <w:bCs w:val="false"/>
          <w:i/>
          <w:iCs/>
          <w:sz w:val="22"/>
          <w:szCs w:val="22"/>
        </w:rPr>
        <w:t xml:space="preserve">wel</w:t>
      </w:r>
      <w:r>
        <w:rPr>
          <w:rFonts w:ascii="Calibri" w:cs="Calibri" w:eastAsia="Calibri" w:hAnsi="Calibri"/>
          <w:b w:val="false"/>
          <w:bCs w:val="false"/>
          <w:i w:val="false"/>
          <w:iCs w:val="false"/>
          <w:sz w:val="22"/>
          <w:szCs w:val="22"/>
        </w:rPr>
        <w:t xml:space="preserve"> onder Uitvoering algemeen valt maar buiten het model van het Nabestaandenloket hoort te blijven. Leg per voorbeeld uit waarom.</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Waar steekt de grens over? (15 min)</w:t>
      </w:r>
    </w:p>
    <w:p>
      <w:pPr>
        <w:spacing w:after="140" w:line="300"/>
      </w:pPr>
      <w:r>
        <w:rPr>
          <w:rFonts w:ascii="Calibri" w:cs="Calibri" w:eastAsia="Calibri" w:hAnsi="Calibri"/>
          <w:b w:val="false"/>
          <w:bCs w:val="false"/>
          <w:i w:val="false"/>
          <w:iCs w:val="false"/>
          <w:sz w:val="22"/>
          <w:szCs w:val="22"/>
        </w:rPr>
        <w:t xml:space="preserve">Benoem twee concrete momenten waarop een gegeven de grens van het Nabestaandenloket-model oversteekt: één moment waarop iets van buiten naar binnen komt, en één moment waarop iets (potentieel) van binnen naar buiten gaat. Gebruik het casusdossier (§4.1 en §4.3) voor aanknopingspunten.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Voer de contextgrens uit (25 min)</w:t>
      </w:r>
    </w:p>
    <w:p>
      <w:pPr>
        <w:spacing w:after="140" w:line="300"/>
      </w:pPr>
      <w:r>
        <w:rPr>
          <w:rFonts w:ascii="Calibri" w:cs="Calibri" w:eastAsia="Calibri" w:hAnsi="Calibri"/>
          <w:b w:val="false"/>
          <w:bCs w:val="false"/>
          <w:i w:val="false"/>
          <w:iCs w:val="false"/>
          <w:sz w:val="22"/>
          <w:szCs w:val="22"/>
        </w:rPr>
        <w:t xml:space="preserve">Het casusdossier noemt, naast de polisadministratie, ook UWV (§4.3, samenloop met Anw/WIA-uitkeringen) als partij waarmee het Nabestaandenloket gegevens uitwisselt. Vul de volledige contextgrens in voor de relatie met UWV: alle vier de vragen met een korte onderbouwing, en het afsluitende veld "dat het verschil maakt". Gebruik als aanknopingspunt: betekent "uitkering" voor het Nabestaandenloket hetzelfde als voor UWV?</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Het gesprek tussen Daan en Willemijn (30 min, tweetallen)</w:t>
      </w:r>
    </w:p>
    <w:p>
      <w:pPr>
        <w:spacing w:after="140" w:line="300"/>
      </w:pPr>
      <w:r>
        <w:rPr>
          <w:rFonts w:ascii="Calibri" w:cs="Calibri" w:eastAsia="Calibri" w:hAnsi="Calibri"/>
          <w:b w:val="false"/>
          <w:bCs w:val="false"/>
          <w:i w:val="false"/>
          <w:iCs w:val="false"/>
          <w:sz w:val="22"/>
          <w:szCs w:val="22"/>
        </w:rPr>
        <w:t xml:space="preserve">Eén van jullie is Daan, de ander is Willemijn. Daan stelt voor: "Laten we het simpel houden en gewoon hetzelfde woord 'dossier' gebruiken voor zowel ons proces als wat de polisadministratie bijhoudt — dan hoeven we niet steeds te verduidelijken wat we bedoelen, en werkt straks de koppeling vanzelf." Willemijn moet, met de argumenten uit de reader, uitleggen waarom dit voorstel een risico introduceert dat pas veel later zichtbaar wordt.</w:t>
      </w:r>
    </w:p>
    <w:p>
      <w:pPr>
        <w:spacing w:after="140" w:line="300"/>
      </w:pPr>
      <w:r>
        <w:rPr>
          <w:rFonts w:ascii="Calibri" w:cs="Calibri" w:eastAsia="Calibri" w:hAnsi="Calibri"/>
          <w:b w:val="false"/>
          <w:bCs w:val="false"/>
          <w:i w:val="false"/>
          <w:iCs w:val="false"/>
          <w:sz w:val="22"/>
          <w:szCs w:val="22"/>
        </w:rPr>
        <w:t xml:space="preserve">Wissel daarna van rol met een nieuw voorstel: Daan stelt nu voor om, voor de zekerheid, elk mogelijk aangrenzend systeem of team (de polisadministratie, UWV, het toekomstige Mutatieplatform, notarissen, de BRP) als een eigen, aparte bounded context te behandelen met een eigen vertaalslag, ook als er in de praktijk nooit verwarring over een woord ontstaat. Willemijn moet uitleggen waarom dat de andere kant op doorschiet.</w:t>
      </w:r>
    </w:p>
    <w:p>
      <w:pPr>
        <w:spacing w:after="140" w:line="300"/>
      </w:pPr>
      <w:r>
        <w:rPr>
          <w:rFonts w:ascii="Calibri" w:cs="Calibri" w:eastAsia="Calibri" w:hAnsi="Calibri"/>
          <w:b w:val="false"/>
          <w:bCs w:val="false"/>
          <w:i w:val="false"/>
          <w:iCs w:val="false"/>
          <w:sz w:val="22"/>
          <w:szCs w:val="22"/>
        </w:rPr>
        <w:t xml:space="preserve">Bespreek na afloop: welke vraag uit de contextgrens hielp het meest om vast te stellen of er wel of niet een grens ligt?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6 — Terug naar deel 1 tot en met 8 (20 min, plenair)</w:t>
      </w:r>
    </w:p>
    <w:p>
      <w:pPr>
        <w:spacing w:after="140" w:line="300"/>
      </w:pPr>
      <w:r>
        <w:rPr>
          <w:rFonts w:ascii="Calibri" w:cs="Calibri" w:eastAsia="Calibri" w:hAnsi="Calibri"/>
          <w:b w:val="false"/>
          <w:bCs w:val="false"/>
          <w:i w:val="false"/>
          <w:iCs w:val="false"/>
          <w:sz w:val="22"/>
          <w:szCs w:val="22"/>
        </w:rPr>
        <w:t xml:space="preserve">Bespreek gezamenlijk: welke van de acht eerdere bouwstenen en instrumenten (complexiteitstoets, taalkaart, domeinindeling, modeltoets, objectkeuzeblad, aggregaatschets, gebeurtenislijst, bouwsteenkaart) had het team nodig om deze contextgrens-oefening zinvol te kunnen doen, en waarom? Formuleer in maximaal zes zinnen. Bewaar dit antwoord; je hebt het nodig in deel 10.</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w:t>
      </w:r>
    </w:p>
    <w:p>
      <w:pPr>
        <w:pStyle w:val="Heading2"/>
        <w:spacing w:after="120" w:before="200"/>
      </w:pPr>
      <w:r>
        <w:rPr>
          <w:rFonts w:ascii="Georgia" w:cs="Georgia" w:eastAsia="Georgia" w:hAnsi="Georgia"/>
          <w:b/>
          <w:bCs/>
          <w:color w:val="2C5AA0"/>
          <w:sz w:val="28"/>
          <w:szCs w:val="28"/>
        </w:rPr>
        <w:t xml:space="preserve">Uitwerking 1</w:t>
      </w:r>
    </w:p>
    <w:p>
      <w:pPr>
        <w:spacing w:after="140" w:line="300"/>
      </w:pPr>
      <w:r>
        <w:rPr>
          <w:rFonts w:ascii="Calibri" w:cs="Calibri" w:eastAsia="Calibri" w:hAnsi="Calibri"/>
          <w:b w:val="false"/>
          <w:bCs w:val="false"/>
          <w:i w:val="false"/>
          <w:iCs w:val="false"/>
          <w:sz w:val="22"/>
          <w:szCs w:val="22"/>
        </w:rPr>
        <w:t xml:space="preserve">Het verschil is geen toeval, maar wijst op een fundamenteel andere taak. De polisadministratie houdt de complete levensloop van een deelnemer bij zonder vast begin- of eindpunt — dat is haar taak: alles bewaren wat ooit relevant kan worden voor de pensioenopbouw en -uitkering. Het Nabestaandenloket bewaakt precies één afgebakend proces met een duidelijk begin (een melding van overlijden) en een duidelijk eind (een toekenning of afwijzing). Het woord "dossier" wordt in beide gevallen gebruikt omdat het intuïtief past bij "een verzameling gegevens over iemand", maar de onderliggende taak — alles vastleggen versus één proces afhandelen — verschilt wezenlijk, en dat verschil moet zichtbaar blijven.</w:t>
      </w:r>
    </w:p>
    <w:p>
      <w:pPr>
        <w:pStyle w:val="Heading2"/>
        <w:spacing w:after="120" w:before="200"/>
      </w:pPr>
      <w:r>
        <w:rPr>
          <w:rFonts w:ascii="Georgia" w:cs="Georgia" w:eastAsia="Georgia" w:hAnsi="Georgia"/>
          <w:b/>
          <w:bCs/>
          <w:color w:val="2C5AA0"/>
          <w:sz w:val="28"/>
          <w:szCs w:val="28"/>
        </w:rPr>
        <w:t xml:space="preserve">Uitwerking 2</w:t>
      </w:r>
    </w:p>
    <w:p>
      <w:pPr>
        <w:spacing w:after="140" w:line="300"/>
      </w:pPr>
      <w:r>
        <w:rPr>
          <w:rFonts w:ascii="Calibri" w:cs="Calibri" w:eastAsia="Calibri" w:hAnsi="Calibri"/>
          <w:b w:val="false"/>
          <w:bCs w:val="false"/>
          <w:i w:val="false"/>
          <w:iCs w:val="false"/>
          <w:sz w:val="22"/>
          <w:szCs w:val="22"/>
        </w:rPr>
        <w:t xml:space="preserve">Voorbeeld van iemand die formeel niet bij Nabestaandenzaken hoort maar wél meepraat in de taal van het model: Saïda Fontein, compliance-adviseur vanuit Compliance en Klachten. Haar vraag ("kun je mij over een jaar nog uitleggen waarom dit dossier zo is afgehandeld?") heeft de betekenis van "dossier" en "vaststelling" mee scherpgesteld, ook al valt zij organisatorisch niet onder Nabestaandenzaken of zelfs Uitvoering algemeen.</w:t>
      </w:r>
    </w:p>
    <w:p>
      <w:pPr>
        <w:spacing w:after="140" w:line="300"/>
      </w:pPr>
      <w:r>
        <w:rPr>
          <w:rFonts w:ascii="Calibri" w:cs="Calibri" w:eastAsia="Calibri" w:hAnsi="Calibri"/>
          <w:b w:val="false"/>
          <w:bCs w:val="false"/>
          <w:i w:val="false"/>
          <w:iCs w:val="false"/>
          <w:sz w:val="22"/>
          <w:szCs w:val="22"/>
        </w:rPr>
        <w:t xml:space="preserve">Voorbeeld van iets dat formeel wel onder Uitvoering algemeen valt maar buiten het model hoort: de bredere mutatieverwerking waar Nabestaandenzaken organisatorisch onder valt (casusdossier, §1) — adreswijzigingen en andere reguliere mutaties die niets met het vaststellen van nabestaandenpensioen te maken hebben, gebruiken misschien ook het woord "mutatie" of "dossier", maar horen niet bij de taal en het model dat het team voor het Nabestaandenloket heeft opgebouwd.</w:t>
      </w:r>
    </w:p>
    <w:p>
      <w:pPr>
        <w:pStyle w:val="Heading2"/>
        <w:spacing w:after="120" w:before="200"/>
      </w:pPr>
      <w:r>
        <w:rPr>
          <w:rFonts w:ascii="Georgia" w:cs="Georgia" w:eastAsia="Georgia" w:hAnsi="Georgia"/>
          <w:b/>
          <w:bCs/>
          <w:color w:val="2C5AA0"/>
          <w:sz w:val="28"/>
          <w:szCs w:val="28"/>
        </w:rPr>
        <w:t xml:space="preserve">Uitwerking 3</w:t>
      </w:r>
    </w:p>
    <w:p>
      <w:pPr>
        <w:spacing w:after="140" w:line="300"/>
      </w:pPr>
      <w:r>
        <w:rPr>
          <w:rFonts w:ascii="Calibri" w:cs="Calibri" w:eastAsia="Calibri" w:hAnsi="Calibri"/>
          <w:b w:val="false"/>
          <w:bCs w:val="false"/>
          <w:i w:val="false"/>
          <w:iCs w:val="false"/>
          <w:sz w:val="22"/>
          <w:szCs w:val="22"/>
        </w:rPr>
        <w:t xml:space="preserve">Van buiten naar binnen: het moment waarop een BRP-signaal binnenkomt met een BSN en een overlijdensdatum (§4.1), of het moment waarop de basisgegevens van de deelnemer (naam, geboortedatum, polisgegevens) bij de polisadministratie worden opgehaald om de melding te kunnen verwerken.</w:t>
      </w:r>
    </w:p>
    <w:p>
      <w:pPr>
        <w:spacing w:after="140" w:line="300"/>
      </w:pPr>
      <w:r>
        <w:rPr>
          <w:rFonts w:ascii="Calibri" w:cs="Calibri" w:eastAsia="Calibri" w:hAnsi="Calibri"/>
          <w:b w:val="false"/>
          <w:bCs w:val="false"/>
          <w:i w:val="false"/>
          <w:iCs w:val="false"/>
          <w:sz w:val="22"/>
          <w:szCs w:val="22"/>
        </w:rPr>
        <w:t xml:space="preserve">Van binnen naar buiten (potentieel): het moment waarop het Nabestaandenloket de vastgestelde uitkering aan het UWV of aan een andere pensioenuitvoerder moet doorgeven om samenloop correct te kunnen laten aansluiten (§4.3) — hier gaat informatie die binnen het model als "de toegekende uitkering" bekend is, de grens over naar een partij die er mogelijk een andere betekenis of berekening aan hangt.</w:t>
      </w:r>
    </w:p>
    <w:p>
      <w:pPr>
        <w:pStyle w:val="Heading2"/>
        <w:spacing w:after="120" w:before="200"/>
      </w:pPr>
      <w:r>
        <w:rPr>
          <w:rFonts w:ascii="Georgia" w:cs="Georgia" w:eastAsia="Georgia" w:hAnsi="Georgia"/>
          <w:b/>
          <w:bCs/>
          <w:color w:val="2C5AA0"/>
          <w:sz w:val="28"/>
          <w:szCs w:val="28"/>
        </w:rPr>
        <w:t xml:space="preserve">Uitwerking 4</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Woord en betekenis: "uitkering". Bij UWV: een Anw- of WIA-uitkering, toegekend volgens UWV-eigen regelgeving, losstaand van het pensioenreglement van Meridiaan. Bij het Nabestaandenloket: de toegekende netto-uitkering aan partner- en/of wezenpensioen, vastgesteld volgens het reglement van Meridiaan.
Toeval of andere taak? Geen toeval — twee verschillende wettelijke kaders (Anw/WIA versus het pensioenreglement) leveren elk hun eigen soort uitkering op, met eigen voorwaarden en eigen hoogte.
Waar steekt de grens over? Op het moment dat de samenloopberekening (deel 8, domain service) het UWV-bedrag nodig heeft om de netto-uitkering van Meridiaan te herrekenen — daar komt een extern gegeven de grens van het model binnen.
Blijft de taal overeind? Nee: "uitkering" zonder nadere aanduiding is binnen het team dubbelzinnig zodra UWV in beeld is; er moet altijd bij gezegd worden welke uitkering wordt bedoeld.
**Dat het verschil maakt:** als het team "uitkering" zonder onderscheid gebruikt, kan bij de samenloopberekening de UWV-uitkering per ongeluk worden aangezien voor (een deel van) de Meridiaan-uitkering, met een onterecht te lage of te hoge nabestaandenuitkering als gevolg — Rutger is degene die dat als eerste merkt, als de samenloopberekening een bedrag oplevert dat niet klopt met wat Willemijn in het dossier verwacht.</w:t>
            </w:r>
          </w:p>
        </w:tc>
      </w:tr>
    </w:tbl>
    <w:p>
      <w:pPr>
        <w:pStyle w:val="Heading2"/>
        <w:spacing w:after="120" w:before="200"/>
      </w:pPr>
      <w:r>
        <w:rPr>
          <w:rFonts w:ascii="Georgia" w:cs="Georgia" w:eastAsia="Georgia" w:hAnsi="Georgia"/>
          <w:b/>
          <w:bCs/>
          <w:color w:val="2C5AA0"/>
          <w:sz w:val="28"/>
          <w:szCs w:val="28"/>
        </w:rPr>
        <w:t xml:space="preserve">Uitwerking 5</w:t>
      </w:r>
    </w:p>
    <w:p>
      <w:pPr>
        <w:spacing w:after="140" w:line="300"/>
      </w:pPr>
      <w:r>
        <w:rPr>
          <w:rFonts w:ascii="Calibri" w:cs="Calibri" w:eastAsia="Calibri" w:hAnsi="Calibri"/>
          <w:b w:val="false"/>
          <w:bCs w:val="false"/>
          <w:i w:val="false"/>
          <w:iCs w:val="false"/>
          <w:sz w:val="22"/>
          <w:szCs w:val="22"/>
        </w:rPr>
        <w:t xml:space="preserve">Aandachtspunten voor de nabespreking:</w:t>
      </w:r>
    </w:p>
    <w:p>
      <w:pPr>
        <w:pStyle w:val="ListParagraph"/>
        <w:numPr>
          <w:ilvl w:val="0"/>
          <w:numId w:val="1"/>
        </w:numPr>
        <w:spacing w:after="80"/>
      </w:pPr>
      <w:r>
        <w:rPr>
          <w:rFonts w:ascii="Calibri" w:cs="Calibri" w:eastAsia="Calibri" w:hAnsi="Calibri"/>
          <w:sz w:val="22"/>
          <w:szCs w:val="22"/>
        </w:rPr>
        <w:t xml:space="preserve">Bij het eerste voorstel (één woord voor beide) is het sterkste argument dat de koppeling met de polisadministratie op een dag daadwerkelijk gebouwd wordt, en dat een ontwikkelaar die geen weet heeft van het onderliggende verschil, dan een simplistische één-op-één-vertaling maakt die het onderscheid tussen "complete levensloop" en "één rechtvaststellingsproces" verliest.</w:t>
      </w:r>
    </w:p>
    <w:p>
      <w:pPr>
        <w:pStyle w:val="ListParagraph"/>
        <w:numPr>
          <w:ilvl w:val="0"/>
          <w:numId w:val="1"/>
        </w:numPr>
        <w:spacing w:after="80"/>
      </w:pPr>
      <w:r>
        <w:rPr>
          <w:rFonts w:ascii="Calibri" w:cs="Calibri" w:eastAsia="Calibri" w:hAnsi="Calibri"/>
          <w:sz w:val="22"/>
          <w:szCs w:val="22"/>
        </w:rPr>
        <w:t xml:space="preserve">Bij het tweede voorstel (overal aparte grenzen, ook waar geen verwarring bestaat) is het sterkste argument vraag 4 uit de contextgrens: blijft de eigen taal overeind zonder verduidelijking? Bij een systeem of team waar dat probleemloos het geval is, levert een expliciete grens alleen onnodige overhead op.</w:t>
      </w:r>
    </w:p>
    <w:p>
      <w:pPr>
        <w:pStyle w:val="ListParagraph"/>
        <w:numPr>
          <w:ilvl w:val="0"/>
          <w:numId w:val="1"/>
        </w:numPr>
        <w:spacing w:after="80"/>
      </w:pPr>
      <w:r>
        <w:rPr>
          <w:rFonts w:ascii="Calibri" w:cs="Calibri" w:eastAsia="Calibri" w:hAnsi="Calibri"/>
          <w:sz w:val="22"/>
          <w:szCs w:val="22"/>
        </w:rPr>
        <w:t xml:space="preserve">Een goed teken tijdens het gesprek: het moment waarop "Willemijn" zelf gaat formuleren dat de vraag niet is "hoeveel grenzen willen we trekken" maar "waar loopt de taal daadwerkelijk uiteen".</w:t>
      </w:r>
    </w:p>
    <w:p>
      <w:pPr>
        <w:pStyle w:val="Heading2"/>
        <w:spacing w:after="120" w:before="200"/>
      </w:pPr>
      <w:r>
        <w:rPr>
          <w:rFonts w:ascii="Georgia" w:cs="Georgia" w:eastAsia="Georgia" w:hAnsi="Georgia"/>
          <w:b/>
          <w:bCs/>
          <w:color w:val="2C5AA0"/>
          <w:sz w:val="28"/>
          <w:szCs w:val="28"/>
        </w:rPr>
        <w:t xml:space="preserve">Uitwerking 6</w:t>
      </w:r>
    </w:p>
    <w:p>
      <w:pPr>
        <w:spacing w:after="140" w:line="300"/>
      </w:pPr>
      <w:r>
        <w:rPr>
          <w:rFonts w:ascii="Calibri" w:cs="Calibri" w:eastAsia="Calibri" w:hAnsi="Calibri"/>
          <w:b w:val="false"/>
          <w:bCs w:val="false"/>
          <w:i w:val="false"/>
          <w:iCs w:val="false"/>
          <w:sz w:val="22"/>
          <w:szCs w:val="22"/>
        </w:rPr>
        <w:t xml:space="preserve">Een goed antwoord bevat deze kern: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De contextgrens-oefening was pas mogelijk omdat het team eerst zijn eigen taal scherp had (taalkaart, deel 2) — zonder een scherpe eigen taal is er niets om tegen de buitenwereld af te zetten. De domeinindeling (deel 3) hielp om te zien dat de bounded context niet automatisch samenvalt met het kerndomein. De aggregaatschets (deel 6) gaf het team het aggregaat "dossier" als het concrete ding waarvan de grens van de buitenwereld moest worden onderscheiden, en de bouwsteenkaart (deel 8) liet zien waar gegevens van buiten (zoals het UWV-bedrag) al binnen het model werden gebruikt zonder dat de grens expliciet was benoemd. Zonder deze acht eerdere stappen zou de contextgrens een abstracte oefening zijn geweest in plaats van een vraag met een concreet antwoord.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2026-08-16T19:17:59.804Z</dcterms:created>
  <dcterms:modified xsi:type="dcterms:W3CDTF">2026-08-16T19:17:59.804Z</dcterms:modified>
</cp:coreProperties>
</file>

<file path=docProps/custom.xml><?xml version="1.0" encoding="utf-8"?>
<Properties xmlns="http://schemas.openxmlformats.org/officeDocument/2006/custom-properties" xmlns:vt="http://schemas.openxmlformats.org/officeDocument/2006/docPropsVTypes"/>
</file>