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10 — Examentraining iSAQB-module (tactisch deel) + capstone: verdedig het Nabestaandenloket-model</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1 · deel 10 van 30 — afsluiting van niveau 1</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10 is de afsluiting van niveau 1 en heeft, anders dan deel 1 tot en met 9, geen nieuwe theorie en geen nieuwe Ductus-werkvorm. Het bestaat uit twee onderdelen: een examentraining in de vorm van de iSAQB Advanced-module DDD (tactisch deel), met een eigen vragenbank, en een capstone waarin deelnemers het complete Nabestaandenloket-model — alle negen instrumenten uit dit niveau — mondeling verdedigen tegen kritische bevraging. Dit deel toetst niet of deelnemers de losse begrippen kennen (dat deden de opdrachten in deel 1 tot en met 9 al), maar of ze het geheel kunnen vasthouden onder druk van iemand die geen aannames deelt.</w:t>
      </w:r>
    </w:p>
    <w:p>
      <w:pPr>
        <w:spacing w:after="140" w:line="300"/>
      </w:pPr>
      <w:r>
        <w:rPr>
          <w:rFonts w:ascii="Calibri" w:cs="Calibri" w:eastAsia="Calibri" w:hAnsi="Calibri"/>
          <w:b w:val="false"/>
          <w:bCs w:val="false"/>
          <w:i w:val="false"/>
          <w:iCs w:val="false"/>
          <w:sz w:val="22"/>
          <w:szCs w:val="22"/>
        </w:rPr>
        <w:t xml:space="preserve">Bereid je hierop voor als docent door zelf minstens twee kritische vragen per ronde uit §4 van de reader (taal en grenzen, bouwstenen, de grens onder druk) paraat te hebben, mocht je zelf de rol van Rutger, Saïda of het externe klankbord moeten invullen bij een kleine groep zonder externe gasten.</w:t>
      </w:r>
    </w:p>
    <w:p>
      <w:pPr>
        <w:pStyle w:val="ListParagraph"/>
        <w:numPr>
          <w:ilvl w:val="0"/>
          <w:numId w:val="1"/>
        </w:numPr>
        <w:spacing w:after="80"/>
      </w:pPr>
      <w:r>
        <w:rPr>
          <w:rFonts w:ascii="Calibri" w:cs="Calibri" w:eastAsia="Calibri" w:hAnsi="Calibri"/>
          <w:sz w:val="22"/>
          <w:szCs w:val="22"/>
        </w:rPr>
        <w:t xml:space="preserve">**Module-onderdeel:** oefensessie in de examenvorm van het tactische deel van de iSAQB Advanced-module DDD; eigen vragenbank, geen echte examenvragen.</w:t>
      </w:r>
    </w:p>
    <w:p>
      <w:pPr>
        <w:pStyle w:val="ListParagraph"/>
        <w:numPr>
          <w:ilvl w:val="0"/>
          <w:numId w:val="1"/>
        </w:numPr>
        <w:spacing w:after="80"/>
      </w:pPr>
      <w:r>
        <w:rPr>
          <w:rFonts w:ascii="Calibri" w:cs="Calibri" w:eastAsia="Calibri" w:hAnsi="Calibri"/>
          <w:sz w:val="22"/>
          <w:szCs w:val="22"/>
        </w:rPr>
        <w:t xml:space="preserve">**Werkvorm:** geen nieuw instrument — toepassing en verdediging van de negen eerdere instrumenten in samenhang.</w:t>
      </w:r>
    </w:p>
    <w:p>
      <w:pPr>
        <w:pStyle w:val="ListParagraph"/>
        <w:numPr>
          <w:ilvl w:val="0"/>
          <w:numId w:val="1"/>
        </w:numPr>
        <w:spacing w:after="80"/>
      </w:pPr>
      <w:r>
        <w:rPr>
          <w:rFonts w:ascii="Calibri" w:cs="Calibri" w:eastAsia="Calibri" w:hAnsi="Calibri"/>
          <w:sz w:val="22"/>
          <w:szCs w:val="22"/>
        </w:rPr>
        <w:t xml:space="preserve">**Duur:** één dagdeel (3,5 uur inclusief pauze), eventueel uit te breiden tot een volledige dag als er externe gasten worden uitgenodigd voor de capstone (zie §4).</w:t>
      </w:r>
    </w:p>
    <w:p>
      <w:pPr>
        <w:pStyle w:val="ListParagraph"/>
        <w:numPr>
          <w:ilvl w:val="0"/>
          <w:numId w:val="1"/>
        </w:numPr>
        <w:spacing w:after="80"/>
      </w:pPr>
      <w:r>
        <w:rPr>
          <w:rFonts w:ascii="Calibri" w:cs="Calibri" w:eastAsia="Calibri" w:hAnsi="Calibri"/>
          <w:sz w:val="22"/>
          <w:szCs w:val="22"/>
        </w:rPr>
        <w:t xml:space="preserve">**Voorbereiding deelnemers:** deel 1 t/m 9 volledig afgerond, alle negen ingevulde werkvormen (complexiteitstoets tot en met contextgrens) bij de hand, plus de bewaarde antwoorden op opdracht 6 uit deel 8 en deel 9.</w:t>
      </w:r>
    </w:p>
    <w:p>
      <w:pPr>
        <w:pStyle w:val="Heading2"/>
        <w:spacing w:after="120" w:before="200"/>
      </w:pPr>
      <w:r>
        <w:rPr>
          <w:rFonts w:ascii="Georgia" w:cs="Georgia" w:eastAsia="Georgia" w:hAnsi="Georgia"/>
          <w:b/>
          <w:bCs/>
          <w:color w:val="2C5AA0"/>
          <w:sz w:val="28"/>
          <w:szCs w:val="28"/>
        </w:rPr>
        <w:t xml:space="preserve">2. Tijdschema (dagdeel van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Opening: waarom dit deel geen nieuwe theorie brengt (zie §3)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Voorbeeldvraag met uitwerking (reader §10.3)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0:20-0:50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 zes scenariovragen,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 — zelfcorrectie in 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1:25-1:45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 zelf een scenariovraag schrijven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1:45-2:00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 — klassikale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2:00-2:05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Overgang naar deel B: de capstone (zie §3 en §5)</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 voorbereiding in het eigen team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2:35-3:20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 de verdediging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3:20-3:35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Gezamenlijke afsluiting van niveau 1 (zie §6)</w:t>
            </w:r>
          </w:p>
        </w:tc>
      </w:tr>
    </w:tbl>
    <w:p>
      <w:pPr>
        <w:spacing w:after="140" w:line="300"/>
      </w:pPr>
      <w:r>
        <w:rPr>
          <w:rFonts w:ascii="Calibri" w:cs="Calibri" w:eastAsia="Calibri" w:hAnsi="Calibri"/>
          <w:b w:val="false"/>
          <w:bCs w:val="false"/>
          <w:i w:val="false"/>
          <w:iCs w:val="false"/>
          <w:sz w:val="22"/>
          <w:szCs w:val="22"/>
        </w:rPr>
        <w:t xml:space="preserve">Als externe gasten worden uitgenodigd voor de capstone (zie §4), plan dan een volledige dag: deel A in de ochtend, deel B (met langere verdedigingsrondes en een uitgebreidere nabespreking) in de middag.</w:t>
      </w:r>
    </w:p>
    <w:p>
      <w:pPr>
        <w:pStyle w:val="Heading2"/>
        <w:spacing w:after="120" w:before="200"/>
      </w:pPr>
      <w:r>
        <w:rPr>
          <w:rFonts w:ascii="Georgia" w:cs="Georgia" w:eastAsia="Georgia" w:hAnsi="Georgia"/>
          <w:b/>
          <w:bCs/>
          <w:color w:val="2C5AA0"/>
          <w:sz w:val="28"/>
          <w:szCs w:val="28"/>
        </w:rPr>
        <w:t xml:space="preserve">3. De opening</w:t>
      </w:r>
    </w:p>
    <w:p>
      <w:pPr>
        <w:spacing w:after="140" w:line="300"/>
      </w:pPr>
      <w:r>
        <w:rPr>
          <w:rFonts w:ascii="Calibri" w:cs="Calibri" w:eastAsia="Calibri" w:hAnsi="Calibri"/>
          <w:b w:val="false"/>
          <w:bCs w:val="false"/>
          <w:i w:val="false"/>
          <w:iCs w:val="false"/>
          <w:sz w:val="22"/>
          <w:szCs w:val="22"/>
        </w:rPr>
        <w:t xml:space="preserve">Begin niet met de vragenbank, maar met een korte toelichting op wat dit deel wél en niet is:</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*"De vorige negen delen hebben jullie negen instrumenten gegeven. Vandaag voegen we niets nieuws toe. We doen twee dingen: eerst oefenen we de vraagvorm die je bij de echte iSAQB-module tegenkomt — een scenario, een begrip, een onderbouwing. Daarna doen we iets moeilijkers: jullie verdedigen het model dat je zelf, in tien weken, hebt opgebouwd, tegen mensen die er niet bij waren."*</w:t>
            </w:r>
          </w:p>
        </w:tc>
      </w:tr>
    </w:tbl>
    <w:p>
      <w:pPr>
        <w:spacing w:after="140" w:line="300"/>
      </w:pPr>
      <w:r>
        <w:rPr>
          <w:rFonts w:ascii="Calibri" w:cs="Calibri" w:eastAsia="Calibri" w:hAnsi="Calibri"/>
          <w:b w:val="false"/>
          <w:bCs w:val="false"/>
          <w:i w:val="false"/>
          <w:iCs w:val="false"/>
          <w:sz w:val="22"/>
          <w:szCs w:val="22"/>
        </w:rPr>
        <w:t xml:space="preserve">Benoem expliciet dat de capstone geen toets is met een vast goed antwoord, maar een oefening in het herkennen van drie soorten antwoorden: het oppervlakkige ja, het onderbouwde nee, en de eerlijke onzekerheid (reader §10.4). Dit voorkomt dat deelnemers de sessie ingaan met de verwachting dat er één "juiste" verdediging bestaat.</w:t>
      </w:r>
    </w:p>
    <w:p>
      <w:pPr>
        <w:pStyle w:val="Heading2"/>
        <w:spacing w:after="120" w:before="200"/>
      </w:pPr>
      <w:r>
        <w:rPr>
          <w:rFonts w:ascii="Georgia" w:cs="Georgia" w:eastAsia="Georgia" w:hAnsi="Georgia"/>
          <w:b/>
          <w:bCs/>
          <w:color w:val="2C5AA0"/>
          <w:sz w:val="28"/>
          <w:szCs w:val="28"/>
        </w:rPr>
        <w:t xml:space="preserve">4. Het externe klankbord — praktische opties</w:t>
      </w:r>
    </w:p>
    <w:p>
      <w:pPr>
        <w:spacing w:after="140" w:line="300"/>
      </w:pPr>
      <w:r>
        <w:rPr>
          <w:rFonts w:ascii="Calibri" w:cs="Calibri" w:eastAsia="Calibri" w:hAnsi="Calibri"/>
          <w:b w:val="false"/>
          <w:bCs w:val="false"/>
          <w:i w:val="false"/>
          <w:iCs w:val="false"/>
          <w:sz w:val="22"/>
          <w:szCs w:val="22"/>
        </w:rPr>
        <w:t xml:space="preserve">De reader beschrijft een extern klankbord als iemand van een ander programma binnen Meridiaan die het Nabestaandenloket niet kent. In de daadwerkelijke uitvoering van deze cursus zijn er drie realistische opties, afhankelijk van groepsgrootte en beschikbaarheid:</w:t>
      </w:r>
    </w:p>
    <w:p>
      <w:pPr>
        <w:pStyle w:val="ListParagraph"/>
        <w:numPr>
          <w:ilvl w:val="0"/>
          <w:numId w:val="1"/>
        </w:numPr>
        <w:spacing w:after="80"/>
      </w:pPr>
      <w:r>
        <w:rPr>
          <w:rFonts w:ascii="Calibri" w:cs="Calibri" w:eastAsia="Calibri" w:hAnsi="Calibri"/>
          <w:sz w:val="22"/>
          <w:szCs w:val="22"/>
        </w:rPr>
        <w:t xml:space="preserve">**Een gastdocent of collega-trainer** die de cursus niet zelf heeft gegeven, kort wordt gebrieft over het Nabestaandenloket op basis van het casusdossier (niet meer dan dat), en de rol van extern klankbord speelt. Dit is de sterkste optie omdat de vragen dan daadwerkelijk vanuit onbekendheid komen.</w:t>
      </w:r>
    </w:p>
    <w:p>
      <w:pPr>
        <w:pStyle w:val="ListParagraph"/>
        <w:numPr>
          <w:ilvl w:val="0"/>
          <w:numId w:val="1"/>
        </w:numPr>
        <w:spacing w:after="80"/>
      </w:pPr>
      <w:r>
        <w:rPr>
          <w:rFonts w:ascii="Calibri" w:cs="Calibri" w:eastAsia="Calibri" w:hAnsi="Calibri"/>
          <w:sz w:val="22"/>
          <w:szCs w:val="22"/>
        </w:rPr>
        <w:t xml:space="preserve">**Een andere subgroep binnen dezelfde cursus**, die zelf ook een capstone-verdediging heeft voorbereid maar tijdelijk wisselt van rol: subgroep A verdedigt, subgroep B speelt Rutger/Saïda/klankbord, en andersom. Deze optie werkt goed bij groepen van acht of meer deelnemers en heeft als bijkomend voordeel dat elke deelnemer zowel de verdedigende als de bevragende kant ervaart.</w:t>
      </w:r>
    </w:p>
    <w:p>
      <w:pPr>
        <w:pStyle w:val="ListParagraph"/>
        <w:numPr>
          <w:ilvl w:val="0"/>
          <w:numId w:val="1"/>
        </w:numPr>
        <w:spacing w:after="80"/>
      </w:pPr>
      <w:r>
        <w:rPr>
          <w:rFonts w:ascii="Calibri" w:cs="Calibri" w:eastAsia="Calibri" w:hAnsi="Calibri"/>
          <w:sz w:val="22"/>
          <w:szCs w:val="22"/>
        </w:rPr>
        <w:t xml:space="preserve">**De docent zelf**, als geen van de bovenstaande opties beschikbaar is. Neem in dat geval bewust alle drie de rollen (Rutger, Saïda, extern klankbord) na elkaar aan, met een korte aankondiging van rolwissel, zodat deelnemers de drie invalshoeken — kritische collega, compliance, volslagen buitenstaander — apart blijven herkennen.</w:t>
      </w:r>
    </w:p>
    <w:p>
      <w:pPr>
        <w:spacing w:after="140" w:line="300"/>
      </w:pPr>
      <w:r>
        <w:rPr>
          <w:rFonts w:ascii="Calibri" w:cs="Calibri" w:eastAsia="Calibri" w:hAnsi="Calibri"/>
          <w:b w:val="false"/>
          <w:bCs w:val="false"/>
          <w:i w:val="false"/>
          <w:iCs w:val="false"/>
          <w:sz w:val="22"/>
          <w:szCs w:val="22"/>
        </w:rPr>
        <w:t xml:space="preserve">Kies de optie vóór de sessie en communiceer dit tijdig, zodat groepjes weten voor wie ze zich voorbereiden.</w:t>
      </w:r>
    </w:p>
    <w:p>
      <w:pPr>
        <w:pStyle w:val="Heading2"/>
        <w:spacing w:after="120" w:before="200"/>
      </w:pPr>
      <w:r>
        <w:rPr>
          <w:rFonts w:ascii="Georgia" w:cs="Georgia" w:eastAsia="Georgia" w:hAnsi="Georgia"/>
          <w:b/>
          <w:bCs/>
          <w:color w:val="2C5AA0"/>
          <w:sz w:val="28"/>
          <w:szCs w:val="28"/>
        </w:rPr>
        <w:t xml:space="preserve">5. Hoe je de verdediging beoordeelt en faciliteert</w:t>
      </w:r>
    </w:p>
    <w:p>
      <w:pPr>
        <w:spacing w:after="140" w:line="300"/>
      </w:pPr>
      <w:r>
        <w:rPr>
          <w:rFonts w:ascii="Calibri" w:cs="Calibri" w:eastAsia="Calibri" w:hAnsi="Calibri"/>
          <w:b w:val="false"/>
          <w:bCs w:val="false"/>
          <w:i w:val="false"/>
          <w:iCs w:val="false"/>
          <w:sz w:val="22"/>
          <w:szCs w:val="22"/>
        </w:rPr>
        <w:t xml:space="preserve">Dit is het kernonderdeel van deze docentenhandleiding. De verdediging in opdracht 6 wordt niet becijferd, maar wél systematisch beoordeeld — in lijn met de familiestijl dat een onderbouwd "nee" hoger telt dan een oppervlakkig "ja". Gebruik onderstaande rubric tijdens elke ronde, per vraag-antwoord-paar, en deel de bevindingen mondeling na afloop van elke ronde, niet pas aan het eind van de hele sessie (directe feedback laat deelnemers bijsturen in de volgende ronde).</w:t>
      </w:r>
    </w:p>
    <w:p>
      <w:pPr>
        <w:pStyle w:val="Heading3"/>
        <w:spacing w:after="100" w:before="160"/>
      </w:pPr>
      <w:r>
        <w:rPr>
          <w:rFonts w:ascii="Georgia" w:cs="Georgia" w:eastAsia="Georgia" w:hAnsi="Georgia"/>
          <w:b/>
          <w:bCs/>
          <w:color w:val="1B2A4A"/>
          <w:sz w:val="24"/>
          <w:szCs w:val="24"/>
        </w:rPr>
        <w:t xml:space="preserve">De rubric: drie categorieën, met herkenningspunten</w:t>
      </w:r>
    </w:p>
    <w:p>
      <w:pPr>
        <w:spacing w:after="140" w:line="300"/>
      </w:pPr>
      <w:r>
        <w:rPr>
          <w:rFonts w:ascii="Calibri" w:cs="Calibri" w:eastAsia="Calibri" w:hAnsi="Calibri"/>
          <w:b/>
          <w:bCs/>
          <w:i w:val="false"/>
          <w:iCs w:val="false"/>
          <w:sz w:val="22"/>
          <w:szCs w:val="22"/>
        </w:rPr>
        <w:t xml:space="preserve">Oppervlakkig ja</w:t>
      </w:r>
      <w:r>
        <w:rPr>
          <w:rFonts w:ascii="Calibri" w:cs="Calibri" w:eastAsia="Calibri" w:hAnsi="Calibri"/>
          <w:b w:val="false"/>
          <w:bCs w:val="false"/>
          <w:i w:val="false"/>
          <w:iCs w:val="false"/>
          <w:sz w:val="22"/>
          <w:szCs w:val="22"/>
        </w:rPr>
        <w:t xml:space="preserve"> — het antwoord klopt mogelijk inhoudelijk, maar de onderbouwing ontbreekt of verwijst alleen naar autoriteit of gewoonte.</w:t>
      </w:r>
    </w:p>
    <w:p>
      <w:pPr>
        <w:pStyle w:val="ListParagraph"/>
        <w:numPr>
          <w:ilvl w:val="0"/>
          <w:numId w:val="1"/>
        </w:numPr>
        <w:spacing w:after="80"/>
      </w:pPr>
      <w:r>
        <w:rPr>
          <w:rFonts w:ascii="Calibri" w:cs="Calibri" w:eastAsia="Calibri" w:hAnsi="Calibri"/>
          <w:sz w:val="22"/>
          <w:szCs w:val="22"/>
        </w:rPr>
        <w:t xml:space="preserve">Herkenningspunten: "dat hebben we in deel X zo besloten" zonder de afweging opnieuw te noemen; "dat is toch gewoon hoe een aggregate werkt" zonder toepassing op het eigen dossier; een antwoord dat exact de reader parafraseert zonder eigen woorden of een eigen concreet voorbeeld.</w:t>
      </w:r>
    </w:p>
    <w:p>
      <w:pPr>
        <w:pStyle w:val="ListParagraph"/>
        <w:numPr>
          <w:ilvl w:val="0"/>
          <w:numId w:val="1"/>
        </w:numPr>
        <w:spacing w:after="80"/>
      </w:pPr>
      <w:r>
        <w:rPr>
          <w:rFonts w:ascii="Calibri" w:cs="Calibri" w:eastAsia="Calibri" w:hAnsi="Calibri"/>
          <w:sz w:val="22"/>
          <w:szCs w:val="22"/>
        </w:rPr>
        <w:t xml:space="preserve">Wat je doet: vraag door met "en waarom was dat de juiste keuze, hier, voor dit dossier?" Geef de groep één herkansing binnen dezelfde ronde voordat je verdergaat.</w:t>
      </w:r>
    </w:p>
    <w:p>
      <w:pPr>
        <w:spacing w:after="140" w:line="300"/>
      </w:pPr>
      <w:r>
        <w:rPr>
          <w:rFonts w:ascii="Calibri" w:cs="Calibri" w:eastAsia="Calibri" w:hAnsi="Calibri"/>
          <w:b/>
          <w:bCs/>
          <w:i w:val="false"/>
          <w:iCs w:val="false"/>
          <w:sz w:val="22"/>
          <w:szCs w:val="22"/>
        </w:rPr>
        <w:t xml:space="preserve">Onderbouwd nee</w:t>
      </w:r>
      <w:r>
        <w:rPr>
          <w:rFonts w:ascii="Calibri" w:cs="Calibri" w:eastAsia="Calibri" w:hAnsi="Calibri"/>
          <w:b w:val="false"/>
          <w:bCs w:val="false"/>
          <w:i w:val="false"/>
          <w:iCs w:val="false"/>
          <w:sz w:val="22"/>
          <w:szCs w:val="22"/>
        </w:rPr>
        <w:t xml:space="preserve"> — het antwoord confronteert een genoemd alternatief met een concrete reden waarom dat alternatief hier niet is gekozen, teruggrijpend op wat er in het domein op het spel staat.</w:t>
      </w:r>
    </w:p>
    <w:p>
      <w:pPr>
        <w:pStyle w:val="ListParagraph"/>
        <w:numPr>
          <w:ilvl w:val="0"/>
          <w:numId w:val="1"/>
        </w:numPr>
        <w:spacing w:after="80"/>
      </w:pPr>
      <w:r>
        <w:rPr>
          <w:rFonts w:ascii="Calibri" w:cs="Calibri" w:eastAsia="Calibri" w:hAnsi="Calibri"/>
          <w:sz w:val="22"/>
          <w:szCs w:val="22"/>
        </w:rPr>
        <w:t xml:space="preserve">Herkenningspunten: een verwijzing naar een concrete persoon of situatie uit het casusdossier (zoals Rutgers UWV-herberekening in deel 8, of Saïda's vraag naar uitlegbaarheid in deel 7); een expliciete benoeming van wat er mis zou gaan bij het alternatief, niet alleen dat het "minder netjes" zou zijn.</w:t>
      </w:r>
    </w:p>
    <w:p>
      <w:pPr>
        <w:pStyle w:val="ListParagraph"/>
        <w:numPr>
          <w:ilvl w:val="0"/>
          <w:numId w:val="1"/>
        </w:numPr>
        <w:spacing w:after="80"/>
      </w:pPr>
      <w:r>
        <w:rPr>
          <w:rFonts w:ascii="Calibri" w:cs="Calibri" w:eastAsia="Calibri" w:hAnsi="Calibri"/>
          <w:sz w:val="22"/>
          <w:szCs w:val="22"/>
        </w:rPr>
        <w:t xml:space="preserve">Wat je doet: bevestig expliciet dat dit een sterk antwoord is en benoem waarom — dat helpt de rest van de groep het patroon te herkennen voor de volgende vraag.</w:t>
      </w:r>
    </w:p>
    <w:p>
      <w:pPr>
        <w:spacing w:after="140" w:line="300"/>
      </w:pPr>
      <w:r>
        <w:rPr>
          <w:rFonts w:ascii="Calibri" w:cs="Calibri" w:eastAsia="Calibri" w:hAnsi="Calibri"/>
          <w:b/>
          <w:bCs/>
          <w:i w:val="false"/>
          <w:iCs w:val="false"/>
          <w:sz w:val="22"/>
          <w:szCs w:val="22"/>
        </w:rPr>
        <w:t xml:space="preserve">Eerlijke onzekerheid</w:t>
      </w:r>
      <w:r>
        <w:rPr>
          <w:rFonts w:ascii="Calibri" w:cs="Calibri" w:eastAsia="Calibri" w:hAnsi="Calibri"/>
          <w:b w:val="false"/>
          <w:bCs w:val="false"/>
          <w:i w:val="false"/>
          <w:iCs w:val="false"/>
          <w:sz w:val="22"/>
          <w:szCs w:val="22"/>
        </w:rPr>
        <w:t xml:space="preserve"> — het antwoord erkent dat een punt nog niet is uitgekristalliseerd, met een concrete vervolgstap in plaats van een verzonnen antwoord.</w:t>
      </w:r>
    </w:p>
    <w:p>
      <w:pPr>
        <w:pStyle w:val="ListParagraph"/>
        <w:numPr>
          <w:ilvl w:val="0"/>
          <w:numId w:val="1"/>
        </w:numPr>
        <w:spacing w:after="80"/>
      </w:pPr>
      <w:r>
        <w:rPr>
          <w:rFonts w:ascii="Calibri" w:cs="Calibri" w:eastAsia="Calibri" w:hAnsi="Calibri"/>
          <w:sz w:val="22"/>
          <w:szCs w:val="22"/>
        </w:rPr>
        <w:t xml:space="preserve">Herkenningspunten: "dat hebben we nog niet uitgewerkt, maar [instrument X] laat er wel ruimte voor" in plaats van een haastig ter plekke verzonnen regel; geen paniek of ontwijking, maar een rustige erkenning.</w:t>
      </w:r>
    </w:p>
    <w:p>
      <w:pPr>
        <w:pStyle w:val="ListParagraph"/>
        <w:numPr>
          <w:ilvl w:val="0"/>
          <w:numId w:val="1"/>
        </w:numPr>
        <w:spacing w:after="80"/>
      </w:pPr>
      <w:r>
        <w:rPr>
          <w:rFonts w:ascii="Calibri" w:cs="Calibri" w:eastAsia="Calibri" w:hAnsi="Calibri"/>
          <w:sz w:val="22"/>
          <w:szCs w:val="22"/>
        </w:rPr>
        <w:t xml:space="preserve">Wat je doet: waardeer dit expliciet als een geldig, zelfs sterk antwoord — leg uit dat "ik weet het nog niet zeker, en hier is waarom dat oké is" in een echte architectuurverdediging vaak overtuigender is dan een gehaast verzonnen zekerheid. Dit is het punt waarop deelnemers het meest geneigd zijn te denken dat ze hebben gefaald; corrigeer dat actief.</w:t>
      </w:r>
    </w:p>
    <w:p>
      <w:pPr>
        <w:pStyle w:val="Heading3"/>
        <w:spacing w:after="100" w:before="160"/>
      </w:pPr>
      <w:r>
        <w:rPr>
          <w:rFonts w:ascii="Georgia" w:cs="Georgia" w:eastAsia="Georgia" w:hAnsi="Georgia"/>
          <w:b/>
          <w:bCs/>
          <w:color w:val="1B2A4A"/>
          <w:sz w:val="24"/>
          <w:szCs w:val="24"/>
        </w:rPr>
        <w:t xml:space="preserve">Wat je vermijdt</w:t>
      </w:r>
    </w:p>
    <w:p>
      <w:pPr>
        <w:spacing w:after="140" w:line="300"/>
      </w:pPr>
      <w:r>
        <w:rPr>
          <w:rFonts w:ascii="Calibri" w:cs="Calibri" w:eastAsia="Calibri" w:hAnsi="Calibri"/>
          <w:b w:val="false"/>
          <w:bCs w:val="false"/>
          <w:i w:val="false"/>
          <w:iCs w:val="false"/>
          <w:sz w:val="22"/>
          <w:szCs w:val="22"/>
        </w:rPr>
        <w:t xml:space="preserve">Beoordeel nooit op zelfvertrouwen of welbespraaktheid op zich — een vlot gebracht oppervlakkig ja blijft een oppervlakkig ja, en een aarzelend gebracht onderbouwd nee blijft een onderbouwd nee. Het gaat om de inhoud van de onderbouwing, niet om de presentatie ervan. Grijp in als je merkt dat de groep (of de bevragers) welbespraaktheid verwart met kwaliteit.</w:t>
      </w:r>
    </w:p>
    <w:p>
      <w:pPr>
        <w:pStyle w:val="Heading3"/>
        <w:spacing w:after="100" w:before="160"/>
      </w:pPr>
      <w:r>
        <w:rPr>
          <w:rFonts w:ascii="Georgia" w:cs="Georgia" w:eastAsia="Georgia" w:hAnsi="Georgia"/>
          <w:b/>
          <w:bCs/>
          <w:color w:val="1B2A4A"/>
          <w:sz w:val="24"/>
          <w:szCs w:val="24"/>
        </w:rPr>
        <w:t xml:space="preserve">Na afloop van elke ronde</w:t>
      </w:r>
    </w:p>
    <w:p>
      <w:pPr>
        <w:spacing w:after="140" w:line="300"/>
      </w:pPr>
      <w:r>
        <w:rPr>
          <w:rFonts w:ascii="Calibri" w:cs="Calibri" w:eastAsia="Calibri" w:hAnsi="Calibri"/>
          <w:b w:val="false"/>
          <w:bCs w:val="false"/>
          <w:i w:val="false"/>
          <w:iCs w:val="false"/>
          <w:sz w:val="22"/>
          <w:szCs w:val="22"/>
        </w:rPr>
        <w:t xml:space="preserve">Geef, voordat de volgende ronde begint, een korte (twee tot drie minuten) mondelinge terugkoppeling: welke antwoorden vielen in welke categorie, en wat zou een oppervlakkig ja hebben omgezet in een onderbouwd nee? Dit is bewust geen eindoordeel maar een tussentijdse bijsturing — de groep krijgt de kans om in de volgende ronde beter te scoren, wat de leerervaring versterkt boven een pure beoordelingsmomentopname.</w:t>
      </w:r>
    </w:p>
    <w:p>
      <w:pPr>
        <w:pStyle w:val="Heading2"/>
        <w:spacing w:after="120" w:before="200"/>
      </w:pPr>
      <w:r>
        <w:rPr>
          <w:rFonts w:ascii="Georgia" w:cs="Georgia" w:eastAsia="Georgia" w:hAnsi="Georgia"/>
          <w:b/>
          <w:bCs/>
          <w:color w:val="2C5AA0"/>
          <w:sz w:val="28"/>
          <w:szCs w:val="28"/>
        </w:rPr>
        <w:t xml:space="preserve">6. Afsluiting van niveau 1</w:t>
      </w:r>
    </w:p>
    <w:p>
      <w:pPr>
        <w:spacing w:after="140" w:line="300"/>
      </w:pPr>
      <w:r>
        <w:rPr>
          <w:rFonts w:ascii="Calibri" w:cs="Calibri" w:eastAsia="Calibri" w:hAnsi="Calibri"/>
          <w:b w:val="false"/>
          <w:bCs w:val="false"/>
          <w:i w:val="false"/>
          <w:iCs w:val="false"/>
          <w:sz w:val="22"/>
          <w:szCs w:val="22"/>
        </w:rPr>
        <w:t xml:space="preserve">Sluit de sessie, en daarmee niveau 1, gezamenlijk af met drie stappen:</w:t>
      </w:r>
    </w:p>
    <w:p>
      <w:pPr>
        <w:pStyle w:val="ListParagraph"/>
        <w:numPr>
          <w:ilvl w:val="0"/>
          <w:numId w:val="1"/>
        </w:numPr>
        <w:spacing w:after="80"/>
      </w:pPr>
      <w:r>
        <w:rPr>
          <w:rFonts w:ascii="Calibri" w:cs="Calibri" w:eastAsia="Calibri" w:hAnsi="Calibri"/>
          <w:sz w:val="22"/>
          <w:szCs w:val="22"/>
        </w:rPr>
        <w:t xml:space="preserve">Laat elke groep in één zin benoemen welke vraag uit de capstone hen het meest heeft laten nadenken, en waarom.</w:t>
      </w:r>
    </w:p>
    <w:p>
      <w:pPr>
        <w:pStyle w:val="ListParagraph"/>
        <w:numPr>
          <w:ilvl w:val="0"/>
          <w:numId w:val="1"/>
        </w:numPr>
        <w:spacing w:after="80"/>
      </w:pPr>
      <w:r>
        <w:rPr>
          <w:rFonts w:ascii="Calibri" w:cs="Calibri" w:eastAsia="Calibri" w:hAnsi="Calibri"/>
          <w:sz w:val="22"/>
          <w:szCs w:val="22"/>
        </w:rPr>
        <w:t xml:space="preserve">Herhaal expliciet dat het Nabestaandenloket zelf niet is gebouwd binnen deze cursus, maar dat het model waarmee het gebouwd zal worden, nu volledig doordacht en één keer verdedigd is.</w:t>
      </w:r>
    </w:p>
    <w:p>
      <w:pPr>
        <w:pStyle w:val="ListParagraph"/>
        <w:numPr>
          <w:ilvl w:val="0"/>
          <w:numId w:val="1"/>
        </w:numPr>
        <w:spacing w:after="80"/>
      </w:pPr>
      <w:r>
        <w:rPr>
          <w:rFonts w:ascii="Calibri" w:cs="Calibri" w:eastAsia="Calibri" w:hAnsi="Calibri"/>
          <w:sz w:val="22"/>
          <w:szCs w:val="22"/>
        </w:rPr>
        <w:t xml:space="preserve">Geef de vooruitblik naar niveau 2 (reader §10.6): hetzelfde soort vragen — waarom deze grens, waarom dit begrip — komt terug op de schaal van het complete Meridiaan-landschap, met Daan als domeinmodelleur van het Programma Mutatieplatform. De contextgrens uit deel 9 is daar het startpunt, niet de eindstand.</w:t>
      </w:r>
    </w:p>
    <w:p>
      <w:pPr>
        <w:pStyle w:val="Heading2"/>
        <w:spacing w:after="120" w:before="200"/>
      </w:pPr>
      <w:r>
        <w:rPr>
          <w:rFonts w:ascii="Georgia" w:cs="Georgia" w:eastAsia="Georgia" w:hAnsi="Georgia"/>
          <w:b/>
          <w:bCs/>
          <w:color w:val="2C5AA0"/>
          <w:sz w:val="28"/>
          <w:szCs w:val="28"/>
        </w:rPr>
        <w:t xml:space="preserve">7. Materiaal</w:t>
      </w:r>
    </w:p>
    <w:p>
      <w:pPr>
        <w:pStyle w:val="ListParagraph"/>
        <w:numPr>
          <w:ilvl w:val="0"/>
          <w:numId w:val="1"/>
        </w:numPr>
        <w:spacing w:after="80"/>
      </w:pPr>
      <w:r>
        <w:rPr>
          <w:rFonts w:ascii="Calibri" w:cs="Calibri" w:eastAsia="Calibri" w:hAnsi="Calibri"/>
          <w:sz w:val="22"/>
          <w:szCs w:val="22"/>
        </w:rPr>
        <w:t xml:space="preserve">Casusdossier niveau 1</w:t>
      </w:r>
    </w:p>
    <w:p>
      <w:pPr>
        <w:pStyle w:val="ListParagraph"/>
        <w:numPr>
          <w:ilvl w:val="0"/>
          <w:numId w:val="1"/>
        </w:numPr>
        <w:spacing w:after="80"/>
      </w:pPr>
      <w:r>
        <w:rPr>
          <w:rFonts w:ascii="Calibri" w:cs="Calibri" w:eastAsia="Calibri" w:hAnsi="Calibri"/>
          <w:sz w:val="22"/>
          <w:szCs w:val="22"/>
        </w:rPr>
        <w:t xml:space="preserve">Werkboek deel 10, inclusief de volledige vragenbank van deel A</w:t>
      </w:r>
    </w:p>
    <w:p>
      <w:pPr>
        <w:pStyle w:val="ListParagraph"/>
        <w:numPr>
          <w:ilvl w:val="0"/>
          <w:numId w:val="1"/>
        </w:numPr>
        <w:spacing w:after="80"/>
      </w:pPr>
      <w:r>
        <w:rPr>
          <w:rFonts w:ascii="Calibri" w:cs="Calibri" w:eastAsia="Calibri" w:hAnsi="Calibri"/>
          <w:sz w:val="22"/>
          <w:szCs w:val="22"/>
        </w:rPr>
        <w:t xml:space="preserve">Slidedeck deel 10</w:t>
      </w:r>
    </w:p>
    <w:p>
      <w:pPr>
        <w:pStyle w:val="ListParagraph"/>
        <w:numPr>
          <w:ilvl w:val="0"/>
          <w:numId w:val="1"/>
        </w:numPr>
        <w:spacing w:after="80"/>
      </w:pPr>
      <w:r>
        <w:rPr>
          <w:rFonts w:ascii="Calibri" w:cs="Calibri" w:eastAsia="Calibri" w:hAnsi="Calibri"/>
          <w:sz w:val="22"/>
          <w:szCs w:val="22"/>
        </w:rPr>
        <w:t xml:space="preserve">Alle negen ingevulde werkvormen van elke deelnemer (complexiteitstoets tot en met contextgrens), meegebracht vanuit deel 1 t/m 9</w:t>
      </w:r>
    </w:p>
    <w:p>
      <w:pPr>
        <w:pStyle w:val="ListParagraph"/>
        <w:numPr>
          <w:ilvl w:val="0"/>
          <w:numId w:val="1"/>
        </w:numPr>
        <w:spacing w:after="80"/>
      </w:pPr>
      <w:r>
        <w:rPr>
          <w:rFonts w:ascii="Calibri" w:cs="Calibri" w:eastAsia="Calibri" w:hAnsi="Calibri"/>
          <w:sz w:val="22"/>
          <w:szCs w:val="22"/>
        </w:rPr>
        <w:t xml:space="preserve">De bewaarde antwoorden op opdracht 6 uit deel 8 en deel 9</w:t>
      </w:r>
    </w:p>
    <w:p>
      <w:pPr>
        <w:pStyle w:val="ListParagraph"/>
        <w:numPr>
          <w:ilvl w:val="0"/>
          <w:numId w:val="1"/>
        </w:numPr>
        <w:spacing w:after="80"/>
      </w:pPr>
      <w:r>
        <w:rPr>
          <w:rFonts w:ascii="Calibri" w:cs="Calibri" w:eastAsia="Calibri" w:hAnsi="Calibri"/>
          <w:sz w:val="22"/>
          <w:szCs w:val="22"/>
        </w:rPr>
        <w:t xml:space="preserve">Rubric-kaarten (oppervlakkig ja / onderbouwd nee / eerlijke onzekerheid) voor elke bevrager, om tijdens de verdediging te kunnen noteren</w:t>
      </w:r>
    </w:p>
    <w:p>
      <w:pPr>
        <w:pStyle w:val="ListParagraph"/>
        <w:numPr>
          <w:ilvl w:val="0"/>
          <w:numId w:val="1"/>
        </w:numPr>
        <w:spacing w:after="80"/>
      </w:pPr>
      <w:r>
        <w:rPr>
          <w:rFonts w:ascii="Calibri" w:cs="Calibri" w:eastAsia="Calibri" w:hAnsi="Calibri"/>
          <w:sz w:val="22"/>
          <w:szCs w:val="22"/>
        </w:rPr>
        <w:t xml:space="preserve">Eventueel: een gebriefde gastdocent of collega-trainer voor de rol van extern klankbord (zie §4)</w:t>
      </w:r>
    </w:p>
    <w:p>
      <w:pPr>
        <w:pStyle w:val="Heading2"/>
        <w:spacing w:after="120" w:before="200"/>
      </w:pPr>
      <w:r>
        <w:rPr>
          <w:rFonts w:ascii="Georgia" w:cs="Georgia" w:eastAsia="Georgia" w:hAnsi="Georgia"/>
          <w:b/>
          <w:bCs/>
          <w:color w:val="2C5AA0"/>
          <w:sz w:val="28"/>
          <w:szCs w:val="28"/>
        </w:rPr>
        <w:t xml:space="preserve">8. Aantekeningen voor de docent over de examenlijn</w:t>
      </w:r>
    </w:p>
    <w:p>
      <w:pPr>
        <w:pStyle w:val="ListParagraph"/>
        <w:numPr>
          <w:ilvl w:val="0"/>
          <w:numId w:val="1"/>
        </w:numPr>
        <w:spacing w:after="80"/>
      </w:pPr>
      <w:r>
        <w:rPr>
          <w:rFonts w:ascii="Calibri" w:cs="Calibri" w:eastAsia="Calibri" w:hAnsi="Calibri"/>
          <w:sz w:val="22"/>
          <w:szCs w:val="22"/>
        </w:rPr>
        <w:t xml:space="preserve">De echte iSAQB Advanced-module DDD levert geen zelfstandig certificaat, maar credit points binnen CPSA-A (zie opzetdocument, §1.2). Herhaal deze positionering bij dit afsluitende deel nog eenmaal expliciet: deze cursus is voorbereiding, geen vervanging, en credit points zijn alleen te verzilveren via een erkende iSAQB-trainingsprovider.</w:t>
      </w:r>
    </w:p>
    <w:p>
      <w:pPr>
        <w:pStyle w:val="ListParagraph"/>
        <w:numPr>
          <w:ilvl w:val="0"/>
          <w:numId w:val="1"/>
        </w:numPr>
        <w:spacing w:after="80"/>
      </w:pPr>
      <w:r>
        <w:rPr>
          <w:rFonts w:ascii="Calibri" w:cs="Calibri" w:eastAsia="Calibri" w:hAnsi="Calibri"/>
          <w:sz w:val="22"/>
          <w:szCs w:val="22"/>
        </w:rPr>
        <w:t xml:space="preserve">De vorm van de capstone in dit deel — een mondelinge verdediging voor kritische, niet per se welwillende bevragers — is bewust gemodelleerd naar de vorm van de echte CPSA-A-capstone (een schriftelijke architectuuropdracht gevolgd door mondelinge verdediging voor twee examinatoren), maar op kleinere schaal en zonder de formele NDA- en taakkeuzeprocedure die bij CPSA-A hoort. Wie na deze cursus daadwerkelijk CPSA-A wil behalen, oefent die volledige vorm uitgebreider in niveau 3, deel 29.</w:t>
      </w:r>
    </w:p>
    <w:p>
      <w:pPr>
        <w:pStyle w:val="ListParagraph"/>
        <w:numPr>
          <w:ilvl w:val="0"/>
          <w:numId w:val="1"/>
        </w:numPr>
        <w:spacing w:after="80"/>
      </w:pPr>
      <w:r>
        <w:rPr>
          <w:rFonts w:ascii="Calibri" w:cs="Calibri" w:eastAsia="Calibri" w:hAnsi="Calibri"/>
          <w:sz w:val="22"/>
          <w:szCs w:val="22"/>
        </w:rPr>
        <w:t xml:space="preserve">Als deelnemers vragen of deze sessie "meetelt" voor iets, wees daarin volstrekt helder: nee — dit is oefenstof, geen erkende toetsing, en geen enkel onderdeel van deze cursus kent credit points toe op zichzelf.</w:t>
      </w:r>
    </w:p>
    <w:p>
      <w:pPr>
        <w:pStyle w:val="ListParagraph"/>
        <w:numPr>
          <w:ilvl w:val="0"/>
          <w:numId w:val="1"/>
        </w:numPr>
        <w:spacing w:after="80"/>
      </w:pPr>
      <w:r>
        <w:rPr>
          <w:rFonts w:ascii="Calibri" w:cs="Calibri" w:eastAsia="Calibri" w:hAnsi="Calibri"/>
          <w:sz w:val="22"/>
          <w:szCs w:val="22"/>
        </w:rPr>
        <w:t xml:space="preserve">Vanaf niveau 2 verschuift de casus van het Nabestaandenloket naar het complete Meridiaan-landschap en het Programma Mutatieplatform. Niveau 1 en niveau 2 delen dezelfde hoofdpersoon (Daan) maar hebben elk hun eigen, zelfstandig leesbare casusdossier — een deelnemer die alleen niveau 1 heeft gevolgd, hoeft niveau 2 niet gelezen te hebben om dit deel te kunnen afsluiten, en andersom.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2026-08-16T19:17:59.940Z</dcterms:created>
  <dcterms:modified xsi:type="dcterms:W3CDTF">2026-08-16T19:17:59.940Z</dcterms:modified>
</cp:coreProperties>
</file>

<file path=docProps/custom.xml><?xml version="1.0" encoding="utf-8"?>
<Properties xmlns="http://schemas.openxmlformats.org/officeDocument/2006/custom-properties" xmlns:vt="http://schemas.openxmlformats.org/officeDocument/2006/docPropsVTypes"/>
</file>