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10 — Examentraining iSAQB-module (tactisch deel) + capstone: verdedig het Nabestaandenloket-model</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10 van 30 — afsluiting van niveau 1</w:t>
      </w:r>
    </w:p>
    <w:p>
      <w:pPr>
        <w:spacing w:after="140" w:line="300"/>
      </w:pPr>
      <w:r>
        <w:rPr>
          <w:rFonts w:ascii="Calibri" w:cs="Calibri" w:eastAsia="Calibri" w:hAnsi="Calibri"/>
          <w:b w:val="false"/>
          <w:bCs w:val="false"/>
          <w:i w:val="false"/>
          <w:iCs w:val="false"/>
          <w:sz w:val="22"/>
          <w:szCs w:val="22"/>
        </w:rPr>
        <w:t xml:space="preserve">Twee delen, samen ongeveer een dagdeel. Deel A (opdracht 1 tot en met 4) is de individuele en klassikale examentraining met een eigen vragenbank; deel B (opdracht 5 en 6) is de voorbereiding op en uitvoering van de capstone-verdediging in groepen. De uitwerkingen van deel A staan achterin; deel B heeft geen vaste uitwerking omdat de verdediging live plaatsvindt — wel een beoordelingskader, dat ook in de docentenhandleiding staat.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A — Examentraining: de tactische vragenbank</w:t>
      </w:r>
    </w:p>
    <w:p>
      <w:pPr>
        <w:spacing w:after="140" w:line="300"/>
      </w:pPr>
      <w:r>
        <w:rPr>
          <w:rFonts w:ascii="Calibri" w:cs="Calibri" w:eastAsia="Calibri" w:hAnsi="Calibri"/>
          <w:b w:val="false"/>
          <w:bCs w:val="false"/>
          <w:i w:val="false"/>
          <w:iCs w:val="false"/>
          <w:sz w:val="22"/>
          <w:szCs w:val="22"/>
        </w:rPr>
        <w:t xml:space="preserve">Eigen vragenbank in de stijl van de iSAQB Advanced-module DDD, tactisch deel. Geen echte examenvragen. Elke vraag vraagt om een begrip én een onderbouwing van maximaal twee zinnen.</w:t>
      </w:r>
    </w:p>
    <w:p>
      <w:pPr>
        <w:pStyle w:val="Heading3"/>
        <w:spacing w:after="100" w:before="160"/>
      </w:pPr>
      <w:r>
        <w:rPr>
          <w:rFonts w:ascii="Georgia" w:cs="Georgia" w:eastAsia="Georgia" w:hAnsi="Georgia"/>
          <w:b/>
          <w:bCs/>
          <w:color w:val="1B2A4A"/>
          <w:sz w:val="24"/>
          <w:szCs w:val="24"/>
        </w:rPr>
        <w:t xml:space="preserve">Opdracht 1 — Zes scenariovragen, individueel (30 min)</w:t>
      </w:r>
    </w:p>
    <w:p>
      <w:pPr>
        <w:spacing w:after="140" w:line="300"/>
      </w:pPr>
      <w:r>
        <w:rPr>
          <w:rFonts w:ascii="Calibri" w:cs="Calibri" w:eastAsia="Calibri" w:hAnsi="Calibri"/>
          <w:b/>
          <w:bCs/>
          <w:i w:val="false"/>
          <w:iCs w:val="false"/>
          <w:sz w:val="22"/>
          <w:szCs w:val="22"/>
        </w:rPr>
        <w:t xml:space="preserve">Vraag 1.</w:t>
      </w:r>
      <w:r>
        <w:rPr>
          <w:rFonts w:ascii="Calibri" w:cs="Calibri" w:eastAsia="Calibri" w:hAnsi="Calibri"/>
          <w:b w:val="false"/>
          <w:bCs w:val="false"/>
          <w:i w:val="false"/>
          <w:iCs w:val="false"/>
          <w:sz w:val="22"/>
          <w:szCs w:val="22"/>
        </w:rPr>
        <w:t xml:space="preserve"> Een bibliotheeksysteem houdt exemplaren van boeken bij. Twee exemplaren van hetzelfde boek, met dezelfde titel en ISBN, worden apart geregistreerd omdat de bibliotheek moet kunnen zien welk exemplaar is uitgeleend en welk niet. Is "exemplaar" een entity of een value object? Onderbouw.</w:t>
      </w:r>
    </w:p>
    <w:p>
      <w:pPr>
        <w:spacing w:after="140" w:line="300"/>
      </w:pPr>
      <w:r>
        <w:rPr>
          <w:rFonts w:ascii="Calibri" w:cs="Calibri" w:eastAsia="Calibri" w:hAnsi="Calibri"/>
          <w:b/>
          <w:bCs/>
          <w:i w:val="false"/>
          <w:iCs w:val="false"/>
          <w:sz w:val="22"/>
          <w:szCs w:val="22"/>
        </w:rPr>
        <w:t xml:space="preserve">Vraag 2.</w:t>
      </w:r>
      <w:r>
        <w:rPr>
          <w:rFonts w:ascii="Calibri" w:cs="Calibri" w:eastAsia="Calibri" w:hAnsi="Calibri"/>
          <w:b w:val="false"/>
          <w:bCs w:val="false"/>
          <w:i w:val="false"/>
          <w:iCs w:val="false"/>
          <w:sz w:val="22"/>
          <w:szCs w:val="22"/>
        </w:rPr>
        <w:t xml:space="preserve"> In hetzelfde bibliotheeksysteem wordt een adres vastgelegd bij elk lid. Twee leden met toevallig hetzelfde adres (bijvoorbeeld huisgenoten) worden behandeld als "hetzelfde adres, twee keer gebruikt" — er is geen enkele reden om de twee adresregistraties van elkaar te onderscheiden zolang de inhoud identiek is. Is "adres" hier een entity of een value object? Onderbouw.</w:t>
      </w:r>
    </w:p>
    <w:p>
      <w:pPr>
        <w:spacing w:after="140" w:line="300"/>
      </w:pPr>
      <w:r>
        <w:rPr>
          <w:rFonts w:ascii="Calibri" w:cs="Calibri" w:eastAsia="Calibri" w:hAnsi="Calibri"/>
          <w:b/>
          <w:bCs/>
          <w:i w:val="false"/>
          <w:iCs w:val="false"/>
          <w:sz w:val="22"/>
          <w:szCs w:val="22"/>
        </w:rPr>
        <w:t xml:space="preserve">Vraag 3.</w:t>
      </w:r>
      <w:r>
        <w:rPr>
          <w:rFonts w:ascii="Calibri" w:cs="Calibri" w:eastAsia="Calibri" w:hAnsi="Calibri"/>
          <w:b w:val="false"/>
          <w:bCs w:val="false"/>
          <w:i w:val="false"/>
          <w:iCs w:val="false"/>
          <w:sz w:val="22"/>
          <w:szCs w:val="22"/>
        </w:rPr>
        <w:t xml:space="preserve"> Een webshop registreert bij elke bestelling het moment van bevestiging als een onveranderlijk feit, ook als de bestelling later wordt aangepast of geannuleerd. Welk begrip uit dit niveau past hier het best, en waarom past "een statusveld op de bestelling" hier niet even goed?</w:t>
      </w:r>
    </w:p>
    <w:p>
      <w:pPr>
        <w:spacing w:after="140" w:line="300"/>
      </w:pPr>
      <w:r>
        <w:rPr>
          <w:rFonts w:ascii="Calibri" w:cs="Calibri" w:eastAsia="Calibri" w:hAnsi="Calibri"/>
          <w:b/>
          <w:bCs/>
          <w:i w:val="false"/>
          <w:iCs w:val="false"/>
          <w:sz w:val="22"/>
          <w:szCs w:val="22"/>
        </w:rPr>
        <w:t xml:space="preserve">Vraag 4.</w:t>
      </w:r>
      <w:r>
        <w:rPr>
          <w:rFonts w:ascii="Calibri" w:cs="Calibri" w:eastAsia="Calibri" w:hAnsi="Calibri"/>
          <w:b w:val="false"/>
          <w:bCs w:val="false"/>
          <w:i w:val="false"/>
          <w:iCs w:val="false"/>
          <w:sz w:val="22"/>
          <w:szCs w:val="22"/>
        </w:rPr>
        <w:t xml:space="preserve"> Een verzekeraar wil dat een nieuwe polis alleen kan ontstaan nadat is gecontroleerd of de aanvrager al een lopende polis van hetzelfde type heeft, welk kanaal de aanvraag binnenbracht (adviseur, website, telefoon), en welke minimale gegevens verplicht zijn voordat een polis geldig is. Welke bouwsteen hoort deze regels te bewaken, en welke bouwsteen is het niet?</w:t>
      </w:r>
    </w:p>
    <w:p>
      <w:pPr>
        <w:spacing w:after="140" w:line="300"/>
      </w:pPr>
      <w:r>
        <w:rPr>
          <w:rFonts w:ascii="Calibri" w:cs="Calibri" w:eastAsia="Calibri" w:hAnsi="Calibri"/>
          <w:b/>
          <w:bCs/>
          <w:i w:val="false"/>
          <w:iCs w:val="false"/>
          <w:sz w:val="22"/>
          <w:szCs w:val="22"/>
        </w:rPr>
        <w:t xml:space="preserve">Vraag 5.</w:t>
      </w:r>
      <w:r>
        <w:rPr>
          <w:rFonts w:ascii="Calibri" w:cs="Calibri" w:eastAsia="Calibri" w:hAnsi="Calibri"/>
          <w:b w:val="false"/>
          <w:bCs w:val="false"/>
          <w:i w:val="false"/>
          <w:iCs w:val="false"/>
          <w:sz w:val="22"/>
          <w:szCs w:val="22"/>
        </w:rPr>
        <w:t xml:space="preserve"> Diezelfde verzekeraar wil een bestaande polis kunnen opvragen op basis van polisnummer, zonder dat de aanroepende code hoeft te weten of de polis in een database, een bestand of een ander opslagmechanisme staat. Welke bouwsteen hoort deze taak te dragen?</w:t>
      </w:r>
    </w:p>
    <w:p>
      <w:pPr>
        <w:spacing w:after="140" w:line="300"/>
      </w:pPr>
      <w:r>
        <w:rPr>
          <w:rFonts w:ascii="Calibri" w:cs="Calibri" w:eastAsia="Calibri" w:hAnsi="Calibri"/>
          <w:b/>
          <w:bCs/>
          <w:i w:val="false"/>
          <w:iCs w:val="false"/>
          <w:sz w:val="22"/>
          <w:szCs w:val="22"/>
        </w:rPr>
        <w:t xml:space="preserve">Vraag 6.</w:t>
      </w:r>
      <w:r>
        <w:rPr>
          <w:rFonts w:ascii="Calibri" w:cs="Calibri" w:eastAsia="Calibri" w:hAnsi="Calibri"/>
          <w:b w:val="false"/>
          <w:bCs w:val="false"/>
          <w:i w:val="false"/>
          <w:iCs w:val="false"/>
          <w:sz w:val="22"/>
          <w:szCs w:val="22"/>
        </w:rPr>
        <w:t xml:space="preserve"> Binnen de verzekeraar gebruikt de afdeling Claims het woord "polis" voor het complete dossier van een lopende schadeclaim, terwijl de afdeling Acceptatie hetzelfde woord gebruikt voor het onderliggende verzekeringscontract zelf. Wat concludeer je hieruit over de bounded contexts van Claims en Acceptatie, en waarom is dit geen kwestie die je oplost door één van de twee afdelingen het "foute" woordgebruik te laten corrigeren?</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2 — Zelfcorrectie in tweetallen (20 min)</w:t>
      </w:r>
    </w:p>
    <w:p>
      <w:pPr>
        <w:spacing w:after="140" w:line="300"/>
      </w:pPr>
      <w:r>
        <w:rPr>
          <w:rFonts w:ascii="Calibri" w:cs="Calibri" w:eastAsia="Calibri" w:hAnsi="Calibri"/>
          <w:b w:val="false"/>
          <w:bCs w:val="false"/>
          <w:i w:val="false"/>
          <w:iCs w:val="false"/>
          <w:sz w:val="22"/>
          <w:szCs w:val="22"/>
        </w:rPr>
        <w:t xml:space="preserve">Wissel je antwoorden op opdracht 1 met een partner. Beoordeel elkaars antwoorden niet op "goed of fout", maar op de vraag: bevat de onderbouwing een concreet argument, of alleen een herhaling van de conclusie ("het is een entity omdat het een entity is")? Geef bij minstens twee antwoorden een concrete suggestie om de onderbouwing scherper te maken.</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3 — Zelf een scenariovraag schrijven (20 min)</w:t>
      </w:r>
    </w:p>
    <w:p>
      <w:pPr>
        <w:spacing w:after="140" w:line="300"/>
      </w:pPr>
      <w:r>
        <w:rPr>
          <w:rFonts w:ascii="Calibri" w:cs="Calibri" w:eastAsia="Calibri" w:hAnsi="Calibri"/>
          <w:b w:val="false"/>
          <w:bCs w:val="false"/>
          <w:i w:val="false"/>
          <w:iCs w:val="false"/>
          <w:sz w:val="22"/>
          <w:szCs w:val="22"/>
        </w:rPr>
        <w:t xml:space="preserve">Schrijf, in de stijl van opdracht 1, een eigen scenariovraag over één van de negen instrumenten van niveau 1, gebaseerd op een domein dat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het Nabestaandenloket of de bibliotheek/verzekeraar-voorbeelden is (bijvoorbeeld: een fitnessabonnement, een postbezorgdienst, een universiteit). Formuleer ook je eigen modelantwoord. Wissel met een ander tweetal en beantwoord elkaars vraag.</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4 — Klassikale bespreking (15 min, plenair)</w:t>
      </w:r>
    </w:p>
    <w:p>
      <w:pPr>
        <w:spacing w:after="140" w:line="300"/>
      </w:pPr>
      <w:r>
        <w:rPr>
          <w:rFonts w:ascii="Calibri" w:cs="Calibri" w:eastAsia="Calibri" w:hAnsi="Calibri"/>
          <w:b w:val="false"/>
          <w:bCs w:val="false"/>
          <w:i w:val="false"/>
          <w:iCs w:val="false"/>
          <w:sz w:val="22"/>
          <w:szCs w:val="22"/>
        </w:rPr>
        <w:t xml:space="preserve">Bespreek gezamenlijk: welke vraag uit opdracht 1 was het lastigst om te onderbouwen, en waarom? Ligt dat aan het begrip zelf, of aan hoe het scenario was geformuleerd? Dit is ook een oefening in wat een goede examenvraag onderscheidt van een makkelijke: een scherpe scenariovraag laat maar één antwoord logisch overeind blijven, mits je de juiste vraag stelt aan het scenario.</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B — De capstone: verdedig het Nabestaandenloket-model</w:t>
      </w:r>
    </w:p>
    <w:p>
      <w:pPr>
        <w:pStyle w:val="Heading3"/>
        <w:spacing w:after="100" w:before="160"/>
      </w:pPr>
      <w:r>
        <w:rPr>
          <w:rFonts w:ascii="Georgia" w:cs="Georgia" w:eastAsia="Georgia" w:hAnsi="Georgia"/>
          <w:b/>
          <w:bCs/>
          <w:color w:val="1B2A4A"/>
          <w:sz w:val="24"/>
          <w:szCs w:val="24"/>
        </w:rPr>
        <w:t xml:space="preserve">Opdracht 5 — Voorbereiding in het eigen team (30 min)</w:t>
      </w:r>
    </w:p>
    <w:p>
      <w:pPr>
        <w:spacing w:after="140" w:line="300"/>
      </w:pPr>
      <w:r>
        <w:rPr>
          <w:rFonts w:ascii="Calibri" w:cs="Calibri" w:eastAsia="Calibri" w:hAnsi="Calibri"/>
          <w:b w:val="false"/>
          <w:bCs w:val="false"/>
          <w:i w:val="false"/>
          <w:iCs w:val="false"/>
          <w:sz w:val="22"/>
          <w:szCs w:val="22"/>
        </w:rPr>
        <w:t xml:space="preserve">Vorm groepjes van vier tot zes deelnemers. Elk groepje "is" het Nabestaandenloket-team uit de casus. Bereid gezamenlijk de verdediging voor door, voor elk van de drie rondes uit de reader (§10.4), minstens twee vragen te bedenken die jullie zelf verwachten te krijgen, en een eerste antwoordrichting te schetsen:</w:t>
      </w:r>
    </w:p>
    <w:p>
      <w:pPr>
        <w:pStyle w:val="ListParagraph"/>
        <w:numPr>
          <w:ilvl w:val="0"/>
          <w:numId w:val="1"/>
        </w:numPr>
        <w:spacing w:after="80"/>
      </w:pPr>
      <w:r>
        <w:rPr>
          <w:rFonts w:ascii="Calibri" w:cs="Calibri" w:eastAsia="Calibri" w:hAnsi="Calibri"/>
          <w:sz w:val="22"/>
          <w:szCs w:val="22"/>
        </w:rPr>
        <w:t xml:space="preserve">**Ronde 1 (taal en grenzen):** bijvoorbeeld — waarom is "vaststelling" een apart begrip naast "dossier"? Waarom valt documentbeheer niet binnen de bounded context van het Nabestaandenloket?</w:t>
      </w:r>
    </w:p>
    <w:p>
      <w:pPr>
        <w:pStyle w:val="ListParagraph"/>
        <w:numPr>
          <w:ilvl w:val="0"/>
          <w:numId w:val="1"/>
        </w:numPr>
        <w:spacing w:after="80"/>
      </w:pPr>
      <w:r>
        <w:rPr>
          <w:rFonts w:ascii="Calibri" w:cs="Calibri" w:eastAsia="Calibri" w:hAnsi="Calibri"/>
          <w:sz w:val="22"/>
          <w:szCs w:val="22"/>
        </w:rPr>
        <w:t xml:space="preserve">**Ronde 2 (bouwstenen):** bijvoorbeeld — waarom is de vaststelling geen los aggregate, maar onderdeel van het dossier? Waarom is de samenloopberekening geen methode op het dossier?</w:t>
      </w:r>
    </w:p>
    <w:p>
      <w:pPr>
        <w:pStyle w:val="ListParagraph"/>
        <w:numPr>
          <w:ilvl w:val="0"/>
          <w:numId w:val="1"/>
        </w:numPr>
        <w:spacing w:after="80"/>
      </w:pPr>
      <w:r>
        <w:rPr>
          <w:rFonts w:ascii="Calibri" w:cs="Calibri" w:eastAsia="Calibri" w:hAnsi="Calibri"/>
          <w:sz w:val="22"/>
          <w:szCs w:val="22"/>
        </w:rPr>
        <w:t xml:space="preserve">**Ronde 3 (de grens onder druk):** bijvoorbeeld — wat gebeurt er als een BRP-signaal een overlijdensdatum bevat die later onjuist blijkt? Wat gebeurt er als de polisadministratie een ander deelnemersnummer teruggeeft dan verwacht?</w:t>
      </w:r>
    </w:p>
    <w:p>
      <w:pPr>
        <w:spacing w:after="140" w:line="300"/>
      </w:pPr>
      <w:r>
        <w:rPr>
          <w:rFonts w:ascii="Calibri" w:cs="Calibri" w:eastAsia="Calibri" w:hAnsi="Calibri"/>
          <w:b w:val="false"/>
          <w:bCs w:val="false"/>
          <w:i w:val="false"/>
          <w:iCs w:val="false"/>
          <w:sz w:val="22"/>
          <w:szCs w:val="22"/>
        </w:rPr>
        <w:t xml:space="preserve">Gebruik bij elke vraag ook het antwoord uit opdracht 6 van deel 8 en opdracht 6 van deel 9 (bewaarde antwoorden over hoe de instrumenten samenhangen) als bouwstof.</w:t>
      </w:r>
    </w:p>
    <w:p>
      <w:pPr>
        <w:spacing w:after="140" w:line="300"/>
      </w:pPr>
      <w:r>
        <w:rPr>
          <w:rFonts w:ascii="Calibri" w:cs="Calibri" w:eastAsia="Calibri" w:hAnsi="Calibri"/>
          <w:sz w:val="22"/>
          <w:szCs w:val="22"/>
        </w:rPr>
        <w:t xml:space="preserve"/>
      </w:r>
    </w:p>
    <w:p>
      <w:pPr>
        <w:pStyle w:val="Heading3"/>
        <w:spacing w:after="100" w:before="160"/>
      </w:pPr>
      <w:r>
        <w:rPr>
          <w:rFonts w:ascii="Georgia" w:cs="Georgia" w:eastAsia="Georgia" w:hAnsi="Georgia"/>
          <w:b/>
          <w:bCs/>
          <w:color w:val="1B2A4A"/>
          <w:sz w:val="24"/>
          <w:szCs w:val="24"/>
        </w:rPr>
        <w:t xml:space="preserve">Opdracht 6 — De verdediging (45-60 min, klassikaal of in subgroepen)</w:t>
      </w:r>
    </w:p>
    <w:p>
      <w:pPr>
        <w:spacing w:after="140" w:line="300"/>
      </w:pPr>
      <w:r>
        <w:rPr>
          <w:rFonts w:ascii="Calibri" w:cs="Calibri" w:eastAsia="Calibri" w:hAnsi="Calibri"/>
          <w:b w:val="false"/>
          <w:bCs w:val="false"/>
          <w:i w:val="false"/>
          <w:iCs w:val="false"/>
          <w:sz w:val="22"/>
          <w:szCs w:val="22"/>
        </w:rPr>
        <w:t xml:space="preserve">Elk groepje voert de verdediging uit voor de rest van de klas of voor de docent (en eventuele gastbeoordelaars), volgens de drie rondes uit de reader. Andere deelnemers of de docent nemen de rollen van Rutger (kritische collega), Saïda (compliance) en het externe klankbord over, en stellen onaangekondigde vragen naast de voorbereide vragen uit opdracht 5.</w:t>
      </w:r>
    </w:p>
    <w:p>
      <w:pPr>
        <w:spacing w:after="140" w:line="300"/>
      </w:pPr>
      <w:r>
        <w:rPr>
          <w:rFonts w:ascii="Calibri" w:cs="Calibri" w:eastAsia="Calibri" w:hAnsi="Calibri"/>
          <w:b w:val="false"/>
          <w:bCs w:val="false"/>
          <w:i w:val="false"/>
          <w:iCs w:val="false"/>
          <w:sz w:val="22"/>
          <w:szCs w:val="22"/>
        </w:rPr>
        <w:t xml:space="preserve">Na elke ronde geeft de groep zichzelf, en de klas de groep, een korte kwalificatie per antwoord: oppervlakkig ja, onderbouwd nee, of eerlijke onzekerheid (zie reader §10.4). Er is geen cijfer — het doel is het onderscheid tussen deze drie leren herkennen, in het eigen antwoord en in dat van anderen.</w:t>
      </w:r>
    </w:p>
    <w:p>
      <w:pPr>
        <w:spacing w:after="140" w:line="300"/>
      </w:pPr>
      <w:r>
        <w:rPr>
          <w:rFonts w:ascii="Calibri" w:cs="Calibri" w:eastAsia="Calibri" w:hAnsi="Calibri"/>
          <w:b w:val="false"/>
          <w:bCs w:val="false"/>
          <w:i w:val="false"/>
          <w:iCs w:val="false"/>
          <w:sz w:val="22"/>
          <w:szCs w:val="22"/>
        </w:rPr>
        <w:t xml:space="preserve">Sluit af met een korte, gezamenlijke reflectie: welke vraag dwong de groep het meest om iets opnieuw te doordenken dat als "klaar" werd beschouwd?</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 deel A</w:t>
      </w:r>
    </w:p>
    <w:p>
      <w:pPr>
        <w:pStyle w:val="Heading2"/>
        <w:spacing w:after="120" w:before="200"/>
      </w:pPr>
      <w:r>
        <w:rPr>
          <w:rFonts w:ascii="Georgia" w:cs="Georgia" w:eastAsia="Georgia" w:hAnsi="Georgia"/>
          <w:b/>
          <w:bCs/>
          <w:color w:val="2C5AA0"/>
          <w:sz w:val="28"/>
          <w:szCs w:val="28"/>
        </w:rPr>
        <w:t xml:space="preserve">Uitwerking vraag 1</w:t>
      </w:r>
    </w:p>
    <w:p>
      <w:pPr>
        <w:spacing w:after="140" w:line="300"/>
      </w:pPr>
      <w:r>
        <w:rPr>
          <w:rFonts w:ascii="Calibri" w:cs="Calibri" w:eastAsia="Calibri" w:hAnsi="Calibri"/>
          <w:b w:val="false"/>
          <w:bCs w:val="false"/>
          <w:i w:val="false"/>
          <w:iCs w:val="false"/>
          <w:sz w:val="22"/>
          <w:szCs w:val="22"/>
        </w:rPr>
        <w:t xml:space="preserve">Entity. Het criterium is niet of twee exemplaren identiek zijn in gegevens, maar of het systeem ze afzonderlijk moet kunnen volgen — en dat is hier het geval: de bibliotheek moet weten welk specifieke exemplaar is uitgeleend, ook al zijn titel en ISBN identiek aan een ander exemplaar.</w:t>
      </w:r>
    </w:p>
    <w:p>
      <w:pPr>
        <w:pStyle w:val="Heading2"/>
        <w:spacing w:after="120" w:before="200"/>
      </w:pPr>
      <w:r>
        <w:rPr>
          <w:rFonts w:ascii="Georgia" w:cs="Georgia" w:eastAsia="Georgia" w:hAnsi="Georgia"/>
          <w:b/>
          <w:bCs/>
          <w:color w:val="2C5AA0"/>
          <w:sz w:val="28"/>
          <w:szCs w:val="28"/>
        </w:rPr>
        <w:t xml:space="preserve">Uitwerking vraag 2</w:t>
      </w:r>
    </w:p>
    <w:p>
      <w:pPr>
        <w:spacing w:after="140" w:line="300"/>
      </w:pPr>
      <w:r>
        <w:rPr>
          <w:rFonts w:ascii="Calibri" w:cs="Calibri" w:eastAsia="Calibri" w:hAnsi="Calibri"/>
          <w:b w:val="false"/>
          <w:bCs w:val="false"/>
          <w:i w:val="false"/>
          <w:iCs w:val="false"/>
          <w:sz w:val="22"/>
          <w:szCs w:val="22"/>
        </w:rPr>
        <w:t xml:space="preserve">Value object. Hier doet identiteit niet ter zake: twee adresregistraties met dezelfde inhoud zijn voor het systeem volledig uitwisselbaar, en er is geen enkele taak die vraagt om ze als afzonderlijke, volgbare dingen te onderscheiden.</w:t>
      </w:r>
    </w:p>
    <w:p>
      <w:pPr>
        <w:pStyle w:val="Heading2"/>
        <w:spacing w:after="120" w:before="200"/>
      </w:pPr>
      <w:r>
        <w:rPr>
          <w:rFonts w:ascii="Georgia" w:cs="Georgia" w:eastAsia="Georgia" w:hAnsi="Georgia"/>
          <w:b/>
          <w:bCs/>
          <w:color w:val="2C5AA0"/>
          <w:sz w:val="28"/>
          <w:szCs w:val="28"/>
        </w:rPr>
        <w:t xml:space="preserve">Uitwerking vraag 3</w:t>
      </w:r>
    </w:p>
    <w:p>
      <w:pPr>
        <w:spacing w:after="140" w:line="300"/>
      </w:pPr>
      <w:r>
        <w:rPr>
          <w:rFonts w:ascii="Calibri" w:cs="Calibri" w:eastAsia="Calibri" w:hAnsi="Calibri"/>
          <w:b w:val="false"/>
          <w:bCs w:val="false"/>
          <w:i w:val="false"/>
          <w:iCs w:val="false"/>
          <w:sz w:val="22"/>
          <w:szCs w:val="22"/>
        </w:rPr>
        <w:t xml:space="preserve">Domain event. "Bevestigingsmoment van de bestelling" is een onveranderlijk feit dat vastligt op het moment dat het gebeurde, ongeacht wat er later met de bestelling gebeurt. Een statusveld past hier niet, omdat een statusveld overschreven wordt zodra de bestelling verandert — daarmee zou het precieze moment van bevestiging, en het feit dát die bevestiging heeft plaatsgevonden onafhankelijk van latere wijzigingen, verloren gaan.</w:t>
      </w:r>
    </w:p>
    <w:p>
      <w:pPr>
        <w:pStyle w:val="Heading2"/>
        <w:spacing w:after="120" w:before="200"/>
      </w:pPr>
      <w:r>
        <w:rPr>
          <w:rFonts w:ascii="Georgia" w:cs="Georgia" w:eastAsia="Georgia" w:hAnsi="Georgia"/>
          <w:b/>
          <w:bCs/>
          <w:color w:val="2C5AA0"/>
          <w:sz w:val="28"/>
          <w:szCs w:val="28"/>
        </w:rPr>
        <w:t xml:space="preserve">Uitwerking vraag 4</w:t>
      </w:r>
    </w:p>
    <w:p>
      <w:pPr>
        <w:spacing w:after="140" w:line="300"/>
      </w:pPr>
      <w:r>
        <w:rPr>
          <w:rFonts w:ascii="Calibri" w:cs="Calibri" w:eastAsia="Calibri" w:hAnsi="Calibri"/>
          <w:b w:val="false"/>
          <w:bCs w:val="false"/>
          <w:i w:val="false"/>
          <w:iCs w:val="false"/>
          <w:sz w:val="22"/>
          <w:szCs w:val="22"/>
        </w:rPr>
        <w:t xml:space="preserve">De factory hoort deze regels te bewaken; het aggregate zelf (de polis) is het niet, omdat de polis op het moment van deze controles nog niet bestaat. Een simpele constructie (velden invullen) zou de drie regels — bestaande polis controleren, kanaal verdisconteren, minimale gegevens afdwingen — telkens opnieuw op elke plek moeten herhalen waar een polis ontstaat, met het risico op een inconsistent ontstane polis.</w:t>
      </w:r>
    </w:p>
    <w:p>
      <w:pPr>
        <w:pStyle w:val="Heading2"/>
        <w:spacing w:after="120" w:before="200"/>
      </w:pPr>
      <w:r>
        <w:rPr>
          <w:rFonts w:ascii="Georgia" w:cs="Georgia" w:eastAsia="Georgia" w:hAnsi="Georgia"/>
          <w:b/>
          <w:bCs/>
          <w:color w:val="2C5AA0"/>
          <w:sz w:val="28"/>
          <w:szCs w:val="28"/>
        </w:rPr>
        <w:t xml:space="preserve">Uitwerking vraag 5</w:t>
      </w:r>
    </w:p>
    <w:p>
      <w:pPr>
        <w:spacing w:after="140" w:line="300"/>
      </w:pPr>
      <w:r>
        <w:rPr>
          <w:rFonts w:ascii="Calibri" w:cs="Calibri" w:eastAsia="Calibri" w:hAnsi="Calibri"/>
          <w:b w:val="false"/>
          <w:bCs w:val="false"/>
          <w:i w:val="false"/>
          <w:iCs w:val="false"/>
          <w:sz w:val="22"/>
          <w:szCs w:val="22"/>
        </w:rPr>
        <w:t xml:space="preserve">De repository. Ze biedt een domeintaal-vriendelijke manier om een bestaand aggregate (de polis) terug te vinden op basis van een kenmerk (het polisnummer), zonder dat de rest van het model kennis hoeft te hebben van de onderliggende opslagtechniek.</w:t>
      </w:r>
    </w:p>
    <w:p>
      <w:pPr>
        <w:pStyle w:val="Heading2"/>
        <w:spacing w:after="120" w:before="200"/>
      </w:pPr>
      <w:r>
        <w:rPr>
          <w:rFonts w:ascii="Georgia" w:cs="Georgia" w:eastAsia="Georgia" w:hAnsi="Georgia"/>
          <w:b/>
          <w:bCs/>
          <w:color w:val="2C5AA0"/>
          <w:sz w:val="28"/>
          <w:szCs w:val="28"/>
        </w:rPr>
        <w:t xml:space="preserve">Uitwerking vraag 6</w:t>
      </w:r>
    </w:p>
    <w:p>
      <w:pPr>
        <w:spacing w:after="140" w:line="300"/>
      </w:pPr>
      <w:r>
        <w:rPr>
          <w:rFonts w:ascii="Calibri" w:cs="Calibri" w:eastAsia="Calibri" w:hAnsi="Calibri"/>
          <w:b w:val="false"/>
          <w:bCs w:val="false"/>
          <w:i w:val="false"/>
          <w:iCs w:val="false"/>
          <w:sz w:val="22"/>
          <w:szCs w:val="22"/>
        </w:rPr>
        <w:t xml:space="preserve">Claims en Acceptatie hanteren twee verschillende bounded contexts: hetzelfde woord ("polis") wijst op twee verschillende taken — het bewaken van een schadeclaimproces versus het bewaken van een verzekeringscontract. Dit is geen kwestie van "fout" woordgebruik corrigeren, omdat beide betekenissen intern consistent en functioneel zijn binnen hun eigen afdeling; het corrigeren van één kant zou daar juist verwarring veroorzaken waar nu geen verwarring bestaat. De oplossing ligt niet in het gelijktrekken van het woord, maar in het expliciet erkennen van de grens en het bewust vertalen op het punt waar de twee contexten elkaar raken — precies het onderwerp van deel 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2026-08-16T19:17:59.923Z</dcterms:created>
  <dcterms:modified xsi:type="dcterms:W3CDTF">2026-08-16T19:17:59.923Z</dcterms:modified>
</cp:coreProperties>
</file>

<file path=docProps/custom.xml><?xml version="1.0" encoding="utf-8"?>
<Properties xmlns="http://schemas.openxmlformats.org/officeDocument/2006/custom-properties" xmlns:vt="http://schemas.openxmlformats.org/officeDocument/2006/docPropsVTypes"/>
</file>