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11 — Het landschap in kaart: van vijf applicaties naar kandidaat-bounded-contexts</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11 van 30 — opening van niveau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11 opent niveau 2 en draagt, net als deel 1 dat voor de hele cursus deed, drie lasten tegelijk: het introduceert de nieuwe schaal (landschap in plaats van één subdomein), het introduceert het nieuwe casusdossier en de nieuwe personages, en het zet de toon voor de elf delen die volgen. Onderschat vooral de eerste last niet: deelnemers die niveau 1 hebben gevolgd, hebben net geleerd één grens zorgvuldig te trekken binnen één klein team — de belangrijkste boodschap van dit deel is dat diezelfde zorgvuldigheid nu tegelijk over vijf systemen en vijf teams moet worden toegepast, en dat dat een ander soort werk is, geen tien keer zoveel van hetzelfde.</w:t>
      </w:r>
    </w:p>
    <w:p>
      <w:pPr>
        <w:spacing w:after="140" w:line="300"/>
      </w:pPr>
      <w:r>
        <w:rPr>
          <w:rFonts w:ascii="Calibri" w:cs="Calibri" w:eastAsia="Calibri" w:hAnsi="Calibri"/>
          <w:b w:val="false"/>
          <w:bCs w:val="false"/>
          <w:i w:val="false"/>
          <w:iCs w:val="false"/>
          <w:sz w:val="22"/>
          <w:szCs w:val="22"/>
        </w:rPr>
        <w:t xml:space="preserve">Dit deel is zelfstandig leesbaar. Deelnemers die niveau 1 niet hebben gevolgd, hebben aan het niveau 2-casusdossier voldoende om mee te kunnen doen; verwijzingen naar het Nabestaandenloket in de reader zijn zo geschreven dat ze ook zonder dat niveau te begrijpen zijn.</w:t>
      </w:r>
    </w:p>
    <w:p>
      <w:pPr>
        <w:pStyle w:val="ListParagraph"/>
        <w:numPr>
          <w:ilvl w:val="0"/>
          <w:numId w:val="1"/>
        </w:numPr>
        <w:spacing w:after="80"/>
      </w:pPr>
      <w:r>
        <w:rPr>
          <w:rFonts w:ascii="Calibri" w:cs="Calibri" w:eastAsia="Calibri" w:hAnsi="Calibri"/>
          <w:sz w:val="22"/>
          <w:szCs w:val="22"/>
        </w:rPr>
        <w:t xml:space="preserve">**Module-onderdeel:** voorbereidend op het strategische deel van de iSAQB Advanced-module DDD, in het bijzonder de overgang van domain/subdomain naar bounded context op landschapschaal.</w:t>
      </w:r>
    </w:p>
    <w:p>
      <w:pPr>
        <w:pStyle w:val="ListParagraph"/>
        <w:numPr>
          <w:ilvl w:val="0"/>
          <w:numId w:val="1"/>
        </w:numPr>
        <w:spacing w:after="80"/>
      </w:pPr>
      <w:r>
        <w:rPr>
          <w:rFonts w:ascii="Calibri" w:cs="Calibri" w:eastAsia="Calibri" w:hAnsi="Calibri"/>
          <w:sz w:val="22"/>
          <w:szCs w:val="22"/>
        </w:rPr>
        <w:t xml:space="preserve">**Werkvorm:** de landschapskaart.</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casusdossier niveau 2 volledig gelezen. Niveau 1 is nuttig maar niet verplicht.</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en kennismaking met het niveau 2-casusdossier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de openingssessie van het contextmap-team (reader §11.2)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een landschap zonder grenzen risico oplevert; applicatiegrens versus bounded-context-grens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woord of grens?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signalen van een verborgen grens (reader §11.4)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en 3 — applicatiegrens KERN, signalen herkennen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landschapskaart: de vier stappen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landschapskaart voor Nabestaandenloket en Mutatieplatform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complete kaart, 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volgende botsing voorkomen,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Positionering van de module, vooruitblik deel 12</w:t>
            </w:r>
          </w:p>
        </w:tc>
      </w:tr>
    </w:tbl>
    <w:p>
      <w:pPr>
        <w:spacing w:after="140" w:line="300"/>
      </w:pPr>
      <w:r>
        <w:rPr>
          <w:rFonts w:ascii="Calibri" w:cs="Calibri" w:eastAsia="Calibri" w:hAnsi="Calibri"/>
          <w:b w:val="false"/>
          <w:bCs w:val="false"/>
          <w:i w:val="false"/>
          <w:iCs w:val="false"/>
          <w:sz w:val="22"/>
          <w:szCs w:val="22"/>
        </w:rPr>
        <w:t xml:space="preserve">Loop je uit, dan combineer je opdracht 2 en 3 tot één gezamenlijke bespreking in plaats van gescheiden tweetallen- en individuele werktijd. Schrap nooit opdracht 5: dit is het enige moment in dit deel waarop deelnemers de vijf losse kaarten daadwerkelijk naast elkaar leggen, en dat samenleggen — niet het losse invullen — is waar het inzicht ontstaat.</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Begin, net als in deel 1 van niveau 1, met een vraag in plaats van een definitie. Vraag de groep, ieder voor zich en zonder overleg, op te schrijven wat zij verstaan onder "een mutatie" — een woord dat in vrijwel elk applicatielandschap voorkomt en daardoor herkenbaar is, ook voor wie de Meridiaan-casus nog niet kent. Laat een paar antwoorden hardop voorlezen zonder ze te becommentariëren.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vijf mensen in deze zaal vijf verschillende dingen bedoelden met hetzelfde woord — wat zegt dat over hoe veilig het is om dat woord zomaar tussen systemen te laten reizen?"*</w:t>
            </w:r>
          </w:p>
        </w:tc>
      </w:tr>
    </w:tbl>
    <w:p>
      <w:pPr>
        <w:spacing w:after="140" w:line="300"/>
      </w:pPr>
      <w:r>
        <w:rPr>
          <w:rFonts w:ascii="Calibri" w:cs="Calibri" w:eastAsia="Calibri" w:hAnsi="Calibri"/>
          <w:b w:val="false"/>
          <w:bCs w:val="false"/>
          <w:i w:val="false"/>
          <w:iCs w:val="false"/>
          <w:sz w:val="22"/>
          <w:szCs w:val="22"/>
        </w:rPr>
        <w:t xml:space="preserve">Verbind dit direct aan de casus: dit is precies wat er in de openingssessie van het contextmap-team gebeurde, en precies het soort verschil dat twee maanden eerder al tot een echte botsing had geleid.</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De casus (0:15-0:35).</w:t>
      </w:r>
      <w:r>
        <w:rPr>
          <w:rFonts w:ascii="Calibri" w:cs="Calibri" w:eastAsia="Calibri" w:hAnsi="Calibri"/>
          <w:b w:val="false"/>
          <w:bCs w:val="false"/>
          <w:i w:val="false"/>
          <w:iCs w:val="false"/>
          <w:sz w:val="22"/>
          <w:szCs w:val="22"/>
        </w:rPr>
        <w:t xml:space="preserve"> Laat deelnemers eerst zelf de vier antwoorden van Vera, Karsten, Priya en Otto naast elkaar leggen voordat je Foppe's observatie voorleest. Vraag: "wat is het verschil tussen deze vier antwoorden — zijn dit variaties op hetzelfde idee, of vier echt verschillende dingen?" Voorkom dat deelnemers de antwoorden te snel harmoniseren ("ze bedoelen eigenlijk hetzelfde") — dat is precies de reflex die de oorspronkelijke botsing veroorzaakte.</w:t>
      </w:r>
    </w:p>
    <w:p>
      <w:pPr>
        <w:spacing w:after="140" w:line="300"/>
      </w:pPr>
      <w:r>
        <w:rPr>
          <w:rFonts w:ascii="Calibri" w:cs="Calibri" w:eastAsia="Calibri" w:hAnsi="Calibri"/>
          <w:b/>
          <w:bCs/>
          <w:i w:val="false"/>
          <w:iCs w:val="false"/>
          <w:sz w:val="22"/>
          <w:szCs w:val="22"/>
        </w:rPr>
        <w:t xml:space="preserve">Applicatiegrens versus bounded-context-grens (0:35-0:50).</w:t>
      </w:r>
      <w:r>
        <w:rPr>
          <w:rFonts w:ascii="Calibri" w:cs="Calibri" w:eastAsia="Calibri" w:hAnsi="Calibri"/>
          <w:b w:val="false"/>
          <w:bCs w:val="false"/>
          <w:i w:val="false"/>
          <w:iCs w:val="false"/>
          <w:sz w:val="22"/>
          <w:szCs w:val="22"/>
        </w:rPr>
        <w:t xml:space="preserve"> Dit is het conceptuele scharnier van het hele deel en van niveau 2. Neem de tijd om het onderscheid met een niet-Meridiaan-voorbeeld te laten landen voordat je naar KERN gaat: bijvoorbeeld een enkele monolithische applicatie bij een fictief bedrijf die zowel facturatie als klantenservice bedient met hetzelfde datamodel, en de vraag "is dit één bounded context, of eigenlijk twee die toevallig in dezelfde applicatie wonen?" Pas daarna naar KERN.</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3 (deelnemer bij KERN versus Werkgeversportaal) is bewust het lastigste — het woord staat niet letterlijk in beide kernwoordenlijsten van dossierstuk 11-B, dus deelnemers moeten zelf de impliciete aanwezigheid herkennen. Als een groep dit overslaat, wijs dan terug naar de casus in §11.6 (het "nu"-verschil dat Foppe benoemt).</w:t>
      </w:r>
    </w:p>
    <w:p>
      <w:pPr>
        <w:spacing w:after="140" w:line="300"/>
      </w:pPr>
      <w:r>
        <w:rPr>
          <w:rFonts w:ascii="Calibri" w:cs="Calibri" w:eastAsia="Calibri" w:hAnsi="Calibri"/>
          <w:b/>
          <w:bCs/>
          <w:i w:val="false"/>
          <w:iCs w:val="false"/>
          <w:sz w:val="22"/>
          <w:szCs w:val="22"/>
        </w:rPr>
        <w:t xml:space="preserve">De drie signalen (1:05-1:20).</w:t>
      </w:r>
      <w:r>
        <w:rPr>
          <w:rFonts w:ascii="Calibri" w:cs="Calibri" w:eastAsia="Calibri" w:hAnsi="Calibri"/>
          <w:b w:val="false"/>
          <w:bCs w:val="false"/>
          <w:i w:val="false"/>
          <w:iCs w:val="false"/>
          <w:sz w:val="22"/>
          <w:szCs w:val="22"/>
        </w:rPr>
        <w:t xml:space="preserve"> Introduceer de drie signalen in de volgorde van de reader en vraag na elk signaal om een eigen voorbeeld uit de opening van deelnemers zelf (hun eigen werkorganisatie, niet Meridiaan) — dat toetst of het signaal is begrepen als algemeen instrument, niet als iets wat alleen bij Meridiaan werkt.</w:t>
      </w:r>
    </w:p>
    <w:p>
      <w:pPr>
        <w:spacing w:after="140" w:line="300"/>
      </w:pPr>
      <w:r>
        <w:rPr>
          <w:rFonts w:ascii="Calibri" w:cs="Calibri" w:eastAsia="Calibri" w:hAnsi="Calibri"/>
          <w:b/>
          <w:bCs/>
          <w:i w:val="false"/>
          <w:iCs w:val="false"/>
          <w:sz w:val="22"/>
          <w:szCs w:val="22"/>
        </w:rPr>
        <w:t xml:space="preserve">Opdracht 2.</w:t>
      </w:r>
      <w:r>
        <w:rPr>
          <w:rFonts w:ascii="Calibri" w:cs="Calibri" w:eastAsia="Calibri" w:hAnsi="Calibri"/>
          <w:b w:val="false"/>
          <w:bCs w:val="false"/>
          <w:i w:val="false"/>
          <w:iCs w:val="false"/>
          <w:sz w:val="22"/>
          <w:szCs w:val="22"/>
        </w:rPr>
        <w:t xml:space="preserve"> Er is geen "goed" antwoord op de vraag of KERN één of meerdere bounded contexts bevat — het punt van de opdracht is dat deelnemers leren dát die vraag zinvol is om te stellen, niet dat ze hem definitief beantwoorden. Corrigeer een tweetal alleen als hun antwoord geen onderbouwing bevat, niet als hun conclusie afwijkt van die van een ander tweetal.</w:t>
      </w:r>
    </w:p>
    <w:p>
      <w:pPr>
        <w:spacing w:after="140" w:line="300"/>
      </w:pPr>
      <w:r>
        <w:rPr>
          <w:rFonts w:ascii="Calibri" w:cs="Calibri" w:eastAsia="Calibri" w:hAnsi="Calibri"/>
          <w:b/>
          <w:bCs/>
          <w:i w:val="false"/>
          <w:iCs w:val="false"/>
          <w:sz w:val="22"/>
          <w:szCs w:val="22"/>
        </w:rPr>
        <w:t xml:space="preserve">Opdracht 4 (kern van dit dagdeel).</w:t>
      </w:r>
      <w:r>
        <w:rPr>
          <w:rFonts w:ascii="Calibri" w:cs="Calibri" w:eastAsia="Calibri" w:hAnsi="Calibri"/>
          <w:b w:val="false"/>
          <w:bCs w:val="false"/>
          <w:i w:val="false"/>
          <w:iCs w:val="false"/>
          <w:sz w:val="22"/>
          <w:szCs w:val="22"/>
        </w:rPr>
        <w:t xml:space="preserve"> Dit is het eerste moment waarop deelnemers zelfstandig, zonder het voorbeeld van de reader, de vier stappen doorlopen. Loop rond en let specifiek op stap 3 (botsingen markeren): een veelgemaakte fout is dat deelnemers hier meteen naar stap 4 (de grens trekken) springen zonder eerst expliciet te benoemen wélke woorden botsen en waarom. Stuur hen terug naar stap 3 als dat gebeurt.</w:t>
      </w:r>
    </w:p>
    <w:p>
      <w:pPr>
        <w:spacing w:after="140" w:line="300"/>
      </w:pPr>
      <w:r>
        <w:rPr>
          <w:rFonts w:ascii="Calibri" w:cs="Calibri" w:eastAsia="Calibri" w:hAnsi="Calibri"/>
          <w:b/>
          <w:bCs/>
          <w:i w:val="false"/>
          <w:iCs w:val="false"/>
          <w:sz w:val="22"/>
          <w:szCs w:val="22"/>
        </w:rPr>
        <w:t xml:space="preserve">Opdracht 5.</w:t>
      </w:r>
      <w:r>
        <w:rPr>
          <w:rFonts w:ascii="Calibri" w:cs="Calibri" w:eastAsia="Calibri" w:hAnsi="Calibri"/>
          <w:b w:val="false"/>
          <w:bCs w:val="false"/>
          <w:i w:val="false"/>
          <w:iCs w:val="false"/>
          <w:sz w:val="22"/>
          <w:szCs w:val="22"/>
        </w:rPr>
        <w:t xml:space="preserve"> Laat de groepjes letterlijk vijf vellen (of vijf kaartjes op een digitaal bord) naast elkaar leggen — fysiek samenleggen werkt beter dan mondeling samenvatten, omdat deelnemers dan zelf, met de ogen, de botsingen zien in plaats van ze verteld te krijgen. Dit is ook precies de vaardigheid die in deel 15 (de big-picture EventStorming) op grotere schaal terugkomt.</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als de groep in algemeenheden blijft hangen ("beter communiceren tussen teams"), naar een concrete vraag: "noem het woord, noem de twee teams, en noem het moment waarop ze het zouden hebben gemerkt als wij dit gesprek nu niet hadden gevoerd." Dat dwingt dezelfde precisie die de complexiteitstoets in niveau 1 deel 1 al vroeg met het vijfde veld.</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Landschapskaart ingevuld voor het hele landschap in één keer, in plaats van per applicatie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wil te snel naar het overzicht, slaat de nuance per systeem over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"welke twee systemen uit jouw kaart zouden, los bekeken, een ander kernwoord bovenaan hebben staan?"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Woordbotsing te snel "opgelost" door één definitie te kiezen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harmonie te herstellen in plaats van de botsing eerst te begrijpen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verliest iets als we nu voor die ene definitie kiezen?"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Grens getrokken die exact samenvalt met de applicatiegrens, zonder overweging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Applicatiegrens en bounded-context-grens nog niet losgekoppeld in het hoofd van de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terug naar §11.3 en vraag concreet: "bevat deze applicatie volgens jou echt maar één model?"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("dat het verschil maakt") ingevuld met een algemene formulering zoals "risico op verwarring"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 zoals ook in niveau 1 deel 1 voorkwam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"welke twee teams, en op welk concreet moment merken zij het als eersten?"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heeft niveau 1 gevolgd en verwacht dat de negen tactische bouwstenen nu meteen terugkomen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Onduidelijkheid over het verschil in zwaartepunt tussen niveau 1 (tactisch) en niveau 2 (strategisch)</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Leg uit dat de tactische bouwstenen pas vanaf deel 18 terugkomen, nu op landschapschaal; dit deel gaat uitsluitend over grenzen, niet over wat er ín een grens gebeurt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11 wordt niet becijferd. Wel houd je per deelnemer bij of de landschapskaart uit opdracht 4 aan drie eisen voldoet: er is minstens één concrete woordbotsing benoemd (niet alleen een lijst kernwoorden); de kandidaat-grens in stap 4 is een keuze, geen automatische kopie van de applicatiegrens; en het vijfde veld benoemt twee concrete teams en een concreet moment. Noteer alleen: voldoet / voldoet met hulp / voldoet niet. Dit is het eerste ijkpunt voor de capstone in deel 22.</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(vooraf verstrekt)</w:t>
      </w:r>
    </w:p>
    <w:p>
      <w:pPr>
        <w:pStyle w:val="ListParagraph"/>
        <w:numPr>
          <w:ilvl w:val="0"/>
          <w:numId w:val="1"/>
        </w:numPr>
        <w:spacing w:after="80"/>
      </w:pPr>
      <w:r>
        <w:rPr>
          <w:rFonts w:ascii="Calibri" w:cs="Calibri" w:eastAsia="Calibri" w:hAnsi="Calibri"/>
          <w:sz w:val="22"/>
          <w:szCs w:val="22"/>
        </w:rPr>
        <w:t xml:space="preserve">Werkboek deel 11, inclusief dossierstukken 11-A en 11-B</w:t>
      </w:r>
    </w:p>
    <w:p>
      <w:pPr>
        <w:pStyle w:val="ListParagraph"/>
        <w:numPr>
          <w:ilvl w:val="0"/>
          <w:numId w:val="1"/>
        </w:numPr>
        <w:spacing w:after="80"/>
      </w:pPr>
      <w:r>
        <w:rPr>
          <w:rFonts w:ascii="Calibri" w:cs="Calibri" w:eastAsia="Calibri" w:hAnsi="Calibri"/>
          <w:sz w:val="22"/>
          <w:szCs w:val="22"/>
        </w:rPr>
        <w:t xml:space="preserve">Slidedeck deel 11</w:t>
      </w:r>
    </w:p>
    <w:p>
      <w:pPr>
        <w:pStyle w:val="ListParagraph"/>
        <w:numPr>
          <w:ilvl w:val="0"/>
          <w:numId w:val="1"/>
        </w:numPr>
        <w:spacing w:after="80"/>
      </w:pPr>
      <w:r>
        <w:rPr>
          <w:rFonts w:ascii="Calibri" w:cs="Calibri" w:eastAsia="Calibri" w:hAnsi="Calibri"/>
          <w:sz w:val="22"/>
          <w:szCs w:val="22"/>
        </w:rPr>
        <w:t xml:space="preserve">Blanco landschapskaart-invulbladen, minstens twee per deelnemer (of vijf voor wie opdracht 4 en 5 volledig zelfstandig wil doorlopen)</w:t>
      </w:r>
    </w:p>
    <w:p>
      <w:pPr>
        <w:pStyle w:val="ListParagraph"/>
        <w:numPr>
          <w:ilvl w:val="0"/>
          <w:numId w:val="1"/>
        </w:numPr>
        <w:spacing w:after="80"/>
      </w:pPr>
      <w:r>
        <w:rPr>
          <w:rFonts w:ascii="Calibri" w:cs="Calibri" w:eastAsia="Calibri" w:hAnsi="Calibri"/>
          <w:sz w:val="22"/>
          <w:szCs w:val="22"/>
        </w:rPr>
        <w:t xml:space="preserve">Groot vel of digitaal bord per groepje voor opdracht 5, om de vijf kaarten letterlijk naast elkaar te kunnen leggen</w:t>
      </w:r>
    </w:p>
    <w:p>
      <w:pPr>
        <w:pStyle w:val="Heading2"/>
        <w:spacing w:after="120" w:before="200"/>
      </w:pPr>
      <w:r>
        <w:rPr>
          <w:rFonts w:ascii="Georgia" w:cs="Georgia" w:eastAsia="Georgia" w:hAnsi="Georgia"/>
          <w:b/>
          <w:bCs/>
          <w:color w:val="2C5AA0"/>
          <w:sz w:val="28"/>
          <w:szCs w:val="28"/>
        </w:rPr>
        <w:t xml:space="preserve">8. Aantekeningen voor de docent over de examenlijn en de overgang naar niveau 2</w:t>
      </w:r>
    </w:p>
    <w:p>
      <w:pPr>
        <w:pStyle w:val="ListParagraph"/>
        <w:numPr>
          <w:ilvl w:val="0"/>
          <w:numId w:val="1"/>
        </w:numPr>
        <w:spacing w:after="80"/>
      </w:pPr>
      <w:r>
        <w:rPr>
          <w:rFonts w:ascii="Calibri" w:cs="Calibri" w:eastAsia="Calibri" w:hAnsi="Calibri"/>
          <w:sz w:val="22"/>
          <w:szCs w:val="22"/>
        </w:rPr>
        <w:t xml:space="preserve">De iSAQB Advanced-module Domain-Driven Design behandelt bounded context als onderdeel van het strategische curriculum. Dit deel is het eerste van niveau 2 waarin dat onderwerp terugkomt, nu uitdrukkelijk op landschapschaal in plaats van op de schaal van één subdomein zoals in niveau 1 deel 9.</w:t>
      </w:r>
    </w:p>
    <w:p>
      <w:pPr>
        <w:pStyle w:val="ListParagraph"/>
        <w:numPr>
          <w:ilvl w:val="0"/>
          <w:numId w:val="1"/>
        </w:numPr>
        <w:spacing w:after="80"/>
      </w:pPr>
      <w:r>
        <w:rPr>
          <w:rFonts w:ascii="Calibri" w:cs="Calibri" w:eastAsia="Calibri" w:hAnsi="Calibri"/>
          <w:sz w:val="22"/>
          <w:szCs w:val="22"/>
        </w:rPr>
        <w:t xml:space="preserve">Herhaal, voor deelnemers die niveau 1 niet hebben gevolgd, kort de positionering van de certificeringslijn (voorbereiding op de iSAQB-module, geen zelfstandig certificaat, credit points alleen verzilverbaar via een erkende trainingsprovider) — dit staat uitgebreider in het opzetdocument, §1, maar hoeft in dit deel niet in volle omvang herhaald te worden, alleen kort bevestigd als een deelnemer ernaar vraagt.</w:t>
      </w:r>
    </w:p>
    <w:p>
      <w:pPr>
        <w:pStyle w:val="ListParagraph"/>
        <w:numPr>
          <w:ilvl w:val="0"/>
          <w:numId w:val="1"/>
        </w:numPr>
        <w:spacing w:after="80"/>
      </w:pPr>
      <w:r>
        <w:rPr>
          <w:rFonts w:ascii="Calibri" w:cs="Calibri" w:eastAsia="Calibri" w:hAnsi="Calibri"/>
          <w:sz w:val="22"/>
          <w:szCs w:val="22"/>
        </w:rPr>
        <w:t xml:space="preserve">Niveau 1 en niveau 2 delen dezelfde hoofdpersoon (Daan) en hetzelfde universum (Meridiaan Pensioen), maar hebben elk hun eigen, zelfstandig leesbaar casusdossier. Een deelnemer die alleen niveau 2 volgt, hoeft niveau 1 niet gelezen te hebben; verwijs bij vragen naar het Nabestaandenloket kort naar het niveau 2-casusdossier (§2.4), dat voldoende context bevat.</w:t>
      </w:r>
    </w:p>
    <w:p>
      <w:pPr>
        <w:pStyle w:val="ListParagraph"/>
        <w:numPr>
          <w:ilvl w:val="0"/>
          <w:numId w:val="1"/>
        </w:numPr>
        <w:spacing w:after="80"/>
      </w:pPr>
      <w:r>
        <w:rPr>
          <w:rFonts w:ascii="Calibri" w:cs="Calibri" w:eastAsia="Calibri" w:hAnsi="Calibri"/>
          <w:sz w:val="22"/>
          <w:szCs w:val="22"/>
        </w:rPr>
        <w:t xml:space="preserve">Vanaf dit deel is Merel Duijvestein (bekend uit de businessanalyse-cursus) een terugkerend, maar bewust niet uitgewerkt personage. Als deelnemers die de BA-cursus ook volgen naar haar rol vragen: bevestig dat zij binnen hetzelfde programma werkt, en verwijs voor haar eigen leerlijn naar die cursus — dit is geen omissie, maar een bewuste afbakening tussen de twee cursussen.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2026-08-16T19:18:33.772Z</dcterms:created>
  <dcterms:modified xsi:type="dcterms:W3CDTF">2026-08-16T19:18:33.772Z</dcterms:modified>
</cp:coreProperties>
</file>

<file path=docProps/custom.xml><?xml version="1.0" encoding="utf-8"?>
<Properties xmlns="http://schemas.openxmlformats.org/officeDocument/2006/custom-properties" xmlns:vt="http://schemas.openxmlformats.org/officeDocument/2006/docPropsVTypes"/>
</file>