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12 — Core domain versus supporting versus generic: strategisch prioriteren</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2 · deel 12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12 bouwt rechtstreeks voort op de vijf kandidaat-bounded-contexts uit deel 11. Waar deel 11 leerde grenzen te herkennen, leert dit deel prioriteren tussen die grenzen — een vaardigheid die deelnemers uit niveau 1 (deel 3) al kennen op de schaal van één subdomein, maar die op landschapschaal een extra complicatie kent: de classificatie is niet universeel en niet technisch bepaald, maar volgt uit de strategie van de organisatie. Bewaak dat dit punt goed landt — het is de meest voorkomende denkfout bij dit onderwerp, ook bij ervaren deelnemers.</w:t>
      </w:r>
    </w:p>
    <w:p>
      <w:pPr>
        <w:spacing w:after="140" w:line="300"/>
      </w:pPr>
      <w:r>
        <w:rPr>
          <w:rFonts w:ascii="Calibri" w:cs="Calibri" w:eastAsia="Calibri" w:hAnsi="Calibri"/>
          <w:b w:val="false"/>
          <w:bCs w:val="false"/>
          <w:i w:val="false"/>
          <w:iCs w:val="false"/>
          <w:sz w:val="22"/>
          <w:szCs w:val="22"/>
        </w:rPr>
        <w:t xml:space="preserve">Dit deel is zelfstandig leesbaar met het niveau 2-casusdossier, maar bouwt inhoudelijk sterker op deel 11 dan gebruikelijk: de vijf kandidaat-contexts uit die sessie zijn het startmateriaal van dit deel. Deelnemers die deel 11 niet hebben gevolgd, kunnen met dossierstuk 12-B voldoende aanhaken.</w:t>
      </w:r>
    </w:p>
    <w:p>
      <w:pPr>
        <w:pStyle w:val="ListParagraph"/>
        <w:numPr>
          <w:ilvl w:val="0"/>
          <w:numId w:val="1"/>
        </w:numPr>
        <w:spacing w:after="80"/>
      </w:pPr>
      <w:r>
        <w:rPr>
          <w:rFonts w:ascii="Calibri" w:cs="Calibri" w:eastAsia="Calibri" w:hAnsi="Calibri"/>
          <w:sz w:val="22"/>
          <w:szCs w:val="22"/>
        </w:rPr>
        <w:t xml:space="preserve">**Module-onderdeel:** voorbereidend op het strategische deel van de iSAQB Advanced-module DDD, specifiek domain/subdomain: core, supporting, generic — nu toegepast op een compleet landschap in plaats van één subdomein.</w:t>
      </w:r>
    </w:p>
    <w:p>
      <w:pPr>
        <w:pStyle w:val="ListParagraph"/>
        <w:numPr>
          <w:ilvl w:val="0"/>
          <w:numId w:val="1"/>
        </w:numPr>
        <w:spacing w:after="80"/>
      </w:pPr>
      <w:r>
        <w:rPr>
          <w:rFonts w:ascii="Calibri" w:cs="Calibri" w:eastAsia="Calibri" w:hAnsi="Calibri"/>
          <w:sz w:val="22"/>
          <w:szCs w:val="22"/>
        </w:rPr>
        <w:t xml:space="preserve">**Werkvorm:** de kerndomeinkeuze.</w:t>
      </w:r>
    </w:p>
    <w:p>
      <w:pPr>
        <w:pStyle w:val="ListParagraph"/>
        <w:numPr>
          <w:ilvl w:val="0"/>
          <w:numId w:val="1"/>
        </w:numPr>
        <w:spacing w:after="80"/>
      </w:pPr>
      <w:r>
        <w:rPr>
          <w:rFonts w:ascii="Calibri" w:cs="Calibri" w:eastAsia="Calibri" w:hAnsi="Calibri"/>
          <w:sz w:val="22"/>
          <w:szCs w:val="22"/>
        </w:rPr>
        <w:t xml:space="preserve">**Duur:** één dagdeel (3,5 uur inclusief pauze).</w:t>
      </w:r>
    </w:p>
    <w:p>
      <w:pPr>
        <w:pStyle w:val="ListParagraph"/>
        <w:numPr>
          <w:ilvl w:val="0"/>
          <w:numId w:val="1"/>
        </w:numPr>
        <w:spacing w:after="80"/>
      </w:pPr>
      <w:r>
        <w:rPr>
          <w:rFonts w:ascii="Calibri" w:cs="Calibri" w:eastAsia="Calibri" w:hAnsi="Calibri"/>
          <w:sz w:val="22"/>
          <w:szCs w:val="22"/>
        </w:rPr>
        <w:t xml:space="preserve">**Voorbereiding deelnemers:** deel 11 afgerond, of dossierstuk 12-B vooraf gelezen.</w:t>
      </w:r>
    </w:p>
    <w:p>
      <w:pPr>
        <w:pStyle w:val="Heading2"/>
        <w:spacing w:after="120" w:before="200"/>
      </w:pPr>
      <w:r>
        <w:rPr>
          <w:rFonts w:ascii="Georgia" w:cs="Georgia" w:eastAsia="Georgia" w:hAnsi="Georgia"/>
          <w:b/>
          <w:bCs/>
          <w:color w:val="2C5AA0"/>
          <w:sz w:val="28"/>
          <w:szCs w:val="28"/>
        </w:rPr>
        <w:t xml:space="preserve">2. Tijdschema (dagdeel van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11: de vijf kandidaat-contexts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casus: de budgetsessie (reader §12.2)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0:30-0:50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 soorten domeinen, en waarom de indeling niet universeel is (§12.3)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classificeer de acht rijen uit dossierstuk 12-B</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 foutrichtingen (§12.4)</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en 3 — foutrichtingen herkennen, universaliteit toetsen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kerndomeinkeuze: vier stappen en het vijfde veld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kerndomeinkeuze voor het rechtvaststellingsdeel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investeringsvolgorde voor het hele landschap</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3:15-3:30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Iris' scherpe vraag, plenair, vooruitblik deel 13</w:t>
            </w:r>
          </w:p>
        </w:tc>
      </w:tr>
    </w:tbl>
    <w:p>
      <w:pPr>
        <w:spacing w:after="140" w:line="300"/>
      </w:pPr>
      <w:r>
        <w:rPr>
          <w:rFonts w:ascii="Calibri" w:cs="Calibri" w:eastAsia="Calibri" w:hAnsi="Calibri"/>
          <w:b w:val="false"/>
          <w:bCs w:val="false"/>
          <w:i w:val="false"/>
          <w:iCs w:val="false"/>
          <w:sz w:val="22"/>
          <w:szCs w:val="22"/>
        </w:rPr>
        <w:t xml:space="preserve">Loop je uit, dan is opdracht 1 het onderdeel dat je het veiligst kunt inkorten: laat groepjes elk twee of drie rijen doen in plaats van alle acht, en deel de resultaten plenair. Schrap nooit opdracht 4: dit is de eerste keer dat deelnemers de kerndomeinkeuze zelfstandig op een verspreid kerndomein toepassen, en dat is precies de complicatie die in deel 13 en 14 terugkomt.</w:t>
      </w:r>
    </w:p>
    <w:p>
      <w:pPr>
        <w:pStyle w:val="Heading2"/>
        <w:spacing w:after="120" w:before="200"/>
      </w:pPr>
      <w:r>
        <w:rPr>
          <w:rFonts w:ascii="Georgia" w:cs="Georgia" w:eastAsia="Georgia" w:hAnsi="Georgia"/>
          <w:b/>
          <w:bCs/>
          <w:color w:val="2C5AA0"/>
          <w:sz w:val="28"/>
          <w:szCs w:val="28"/>
        </w:rPr>
        <w:t xml:space="preserve">3. De opening</w:t>
      </w:r>
    </w:p>
    <w:p>
      <w:pPr>
        <w:spacing w:after="140" w:line="300"/>
      </w:pPr>
      <w:r>
        <w:rPr>
          <w:rFonts w:ascii="Calibri" w:cs="Calibri" w:eastAsia="Calibri" w:hAnsi="Calibri"/>
          <w:b w:val="false"/>
          <w:bCs w:val="false"/>
          <w:i w:val="false"/>
          <w:iCs w:val="false"/>
          <w:sz w:val="22"/>
          <w:szCs w:val="22"/>
        </w:rPr>
        <w:t xml:space="preserve">Herhaal kort de vijf kandidaat-contexts uit deel 11 (of, voor wie dat deel niet volgde, dossierstuk 12-B). Vraag dan direct, zonder introductie van de theorie: "Als je morgen twee kwartalen extra senior capaciteit zou krijgen voor dit landschap, waar zou je die als eerste inzetten — en waarom niet ergens anders?" Laat een paar antwoorden klinken, noteer ze zichtbaar, en ga pas daarna naar de casus. De antwoorden van de groep zullen, net als bij Otto en Vera, uiteenlopen tussen "waar zit het meeste werk" en "waar onderscheiden we ons" — precies de spanning die Foppe in de casus benoemt.</w:t>
      </w:r>
    </w:p>
    <w:p>
      <w:pPr>
        <w:pStyle w:val="Heading2"/>
        <w:spacing w:after="120" w:before="200"/>
      </w:pPr>
      <w:r>
        <w:rPr>
          <w:rFonts w:ascii="Georgia" w:cs="Georgia" w:eastAsia="Georgia" w:hAnsi="Georgia"/>
          <w:b/>
          <w:bCs/>
          <w:color w:val="2C5AA0"/>
          <w:sz w:val="28"/>
          <w:szCs w:val="28"/>
        </w:rPr>
        <w:t xml:space="preserve">4. Didactische aanwijzingen per onderdeel</w:t>
      </w:r>
    </w:p>
    <w:p>
      <w:pPr>
        <w:spacing w:after="140" w:line="300"/>
      </w:pPr>
      <w:r>
        <w:rPr>
          <w:rFonts w:ascii="Calibri" w:cs="Calibri" w:eastAsia="Calibri" w:hAnsi="Calibri"/>
          <w:b/>
          <w:bCs/>
          <w:i w:val="false"/>
          <w:iCs w:val="false"/>
          <w:sz w:val="22"/>
          <w:szCs w:val="22"/>
        </w:rPr>
        <w:t xml:space="preserve">De casus (0:15-0:30).</w:t>
      </w:r>
      <w:r>
        <w:rPr>
          <w:rFonts w:ascii="Calibri" w:cs="Calibri" w:eastAsia="Calibri" w:hAnsi="Calibri"/>
          <w:b w:val="false"/>
          <w:bCs w:val="false"/>
          <w:i w:val="false"/>
          <w:iCs w:val="false"/>
          <w:sz w:val="22"/>
          <w:szCs w:val="22"/>
        </w:rPr>
        <w:t xml:space="preserve"> Laat Foppe's observatie ("drie soorten argumenten door elkaar") pas voorlezen nadat de groep zelf de vier reacties (Otto, Vera, Karsten) heeft besproken en, waarschijnlijk, zelf al door elkaar heeft gehaald welk argument bij welke vraag hoort. Dat maakt Foppe's interventie invoelbaar in plaats van een uitleg vooraf.</w:t>
      </w:r>
    </w:p>
    <w:p>
      <w:pPr>
        <w:spacing w:after="140" w:line="300"/>
      </w:pPr>
      <w:r>
        <w:rPr>
          <w:rFonts w:ascii="Calibri" w:cs="Calibri" w:eastAsia="Calibri" w:hAnsi="Calibri"/>
          <w:b/>
          <w:bCs/>
          <w:i w:val="false"/>
          <w:iCs w:val="false"/>
          <w:sz w:val="22"/>
          <w:szCs w:val="22"/>
        </w:rPr>
        <w:t xml:space="preserve">Drie soorten domeinen (0:30-0:50).</w:t>
      </w:r>
      <w:r>
        <w:rPr>
          <w:rFonts w:ascii="Calibri" w:cs="Calibri" w:eastAsia="Calibri" w:hAnsi="Calibri"/>
          <w:b w:val="false"/>
          <w:bCs w:val="false"/>
          <w:i w:val="false"/>
          <w:iCs w:val="false"/>
          <w:sz w:val="22"/>
          <w:szCs w:val="22"/>
        </w:rPr>
        <w:t xml:space="preserve"> Besteed extra tijd aan de paragraaf "waarom de indeling niet universeel is" — dit is het punt waar deelnemers met een sterke technische achtergrond het vaakst op vastlopen, omdat ze geneigd zijn complexiteit met strategisch belang te verwarren. Gebruik zo nodig een niet-Meridiaan-voorbeeld (bijvoorbeeld: betaalverwerking is voor een webshop generiek, voor een betaaldienstverlener het kerndomein) voordat je naar Wegwijzer gaat.</w:t>
      </w:r>
    </w:p>
    <w:p>
      <w:pPr>
        <w:spacing w:after="140" w:line="300"/>
      </w:pPr>
      <w:r>
        <w:rPr>
          <w:rFonts w:ascii="Calibri" w:cs="Calibri" w:eastAsia="Calibri" w:hAnsi="Calibri"/>
          <w:b/>
          <w:bCs/>
          <w:i w:val="false"/>
          <w:iCs w:val="false"/>
          <w:sz w:val="22"/>
          <w:szCs w:val="22"/>
        </w:rPr>
        <w:t xml:space="preserve">Opdracht 1.</w:t>
      </w:r>
      <w:r>
        <w:rPr>
          <w:rFonts w:ascii="Calibri" w:cs="Calibri" w:eastAsia="Calibri" w:hAnsi="Calibri"/>
          <w:b w:val="false"/>
          <w:bCs w:val="false"/>
          <w:i w:val="false"/>
          <w:iCs w:val="false"/>
          <w:sz w:val="22"/>
          <w:szCs w:val="22"/>
        </w:rPr>
        <w:t xml:space="preserve"> De rijen "KERN (rechtvaststellingsdeel)" versus "KERN (koppelvlak- en rapportagedeel)" zijn met opzet twee aparte rijen van hetzelfde systeem — dit toetst of deelnemers begrijpen dat classificatie per stuk model gebeurt, niet per applicatie. Als een groepje "KERN" als geheel classificeert zonder het onderscheid te maken, wijs dan terug naar §12.4 (onderinvesteren in het kerndomein door het te grof te definiëren).</w:t>
      </w:r>
    </w:p>
    <w:p>
      <w:pPr>
        <w:spacing w:after="140" w:line="300"/>
      </w:pPr>
      <w:r>
        <w:rPr>
          <w:rFonts w:ascii="Calibri" w:cs="Calibri" w:eastAsia="Calibri" w:hAnsi="Calibri"/>
          <w:b/>
          <w:bCs/>
          <w:i w:val="false"/>
          <w:iCs w:val="false"/>
          <w:sz w:val="22"/>
          <w:szCs w:val="22"/>
        </w:rPr>
        <w:t xml:space="preserve">Twee foutrichtingen (1:10-1:25).</w:t>
      </w:r>
      <w:r>
        <w:rPr>
          <w:rFonts w:ascii="Calibri" w:cs="Calibri" w:eastAsia="Calibri" w:hAnsi="Calibri"/>
          <w:b w:val="false"/>
          <w:bCs w:val="false"/>
          <w:i w:val="false"/>
          <w:iCs w:val="false"/>
          <w:sz w:val="22"/>
          <w:szCs w:val="22"/>
        </w:rPr>
        <w:t xml:space="preserve"> Vraag na de uitleg om een eigen voorbeeld uit de werkorganisatie van deelnemers zelf — net als bij de drie signalen in deel 11 toetst dit of het onderscheid is begrepen als algemeen instrument.</w:t>
      </w:r>
    </w:p>
    <w:p>
      <w:pPr>
        <w:spacing w:after="140" w:line="300"/>
      </w:pPr>
      <w:r>
        <w:rPr>
          <w:rFonts w:ascii="Calibri" w:cs="Calibri" w:eastAsia="Calibri" w:hAnsi="Calibri"/>
          <w:b/>
          <w:bCs/>
          <w:i w:val="false"/>
          <w:iCs w:val="false"/>
          <w:sz w:val="22"/>
          <w:szCs w:val="22"/>
        </w:rPr>
        <w:t xml:space="preserve">Opdracht 4 (kern van dit dagdeel).</w:t>
      </w:r>
      <w:r>
        <w:rPr>
          <w:rFonts w:ascii="Calibri" w:cs="Calibri" w:eastAsia="Calibri" w:hAnsi="Calibri"/>
          <w:b w:val="false"/>
          <w:bCs w:val="false"/>
          <w:i w:val="false"/>
          <w:iCs w:val="false"/>
          <w:sz w:val="22"/>
          <w:szCs w:val="22"/>
        </w:rPr>
        <w:t xml:space="preserve"> Dit is de eerste keer dat deelnemers een kerndomein tegenkomen dat over meerdere kandidaat-contexts is verspreid. Loop rond en let op stap 4: een veelgemaakte fout is dat groepjes het rechtvaststellingsdeel toewijzen aan één systeem (meestal KERN, omdat dat het meest gezaghebbende systeem lijkt) in plaats van te erkennen dat het zich over drie systemen uitstrekt. Stuur terug naar het casusdossier (§2.1, §2.3, §2.4) als dat gebeurt.</w:t>
      </w:r>
    </w:p>
    <w:p>
      <w:pPr>
        <w:spacing w:after="140" w:line="300"/>
      </w:pPr>
      <w:r>
        <w:rPr>
          <w:rFonts w:ascii="Calibri" w:cs="Calibri" w:eastAsia="Calibri" w:hAnsi="Calibri"/>
          <w:b/>
          <w:bCs/>
          <w:i w:val="false"/>
          <w:iCs w:val="false"/>
          <w:sz w:val="22"/>
          <w:szCs w:val="22"/>
        </w:rPr>
        <w:t xml:space="preserve">Opdracht 5.</w:t>
      </w:r>
      <w:r>
        <w:rPr>
          <w:rFonts w:ascii="Calibri" w:cs="Calibri" w:eastAsia="Calibri" w:hAnsi="Calibri"/>
          <w:b w:val="false"/>
          <w:bCs w:val="false"/>
          <w:i w:val="false"/>
          <w:iCs w:val="false"/>
          <w:sz w:val="22"/>
          <w:szCs w:val="22"/>
        </w:rPr>
        <w:t xml:space="preserve"> Er is geen absoluut correcte volgorde — beoordeel op onderbouwing, niet op uitkomst. Wijs wel bij, als een groepje simpelweg "het grootste systeem" kiest zonder de kerndomein/generiek-scheiding uit opdracht 1 te gebruiken.</w:t>
      </w:r>
    </w:p>
    <w:p>
      <w:pPr>
        <w:spacing w:after="140" w:line="300"/>
      </w:pPr>
      <w:r>
        <w:rPr>
          <w:rFonts w:ascii="Calibri" w:cs="Calibri" w:eastAsia="Calibri" w:hAnsi="Calibri"/>
          <w:b/>
          <w:bCs/>
          <w:i w:val="false"/>
          <w:iCs w:val="false"/>
          <w:sz w:val="22"/>
          <w:szCs w:val="22"/>
        </w:rPr>
        <w:t xml:space="preserve">Opdracht 6.</w:t>
      </w:r>
      <w:r>
        <w:rPr>
          <w:rFonts w:ascii="Calibri" w:cs="Calibri" w:eastAsia="Calibri" w:hAnsi="Calibri"/>
          <w:b w:val="false"/>
          <w:bCs w:val="false"/>
          <w:i w:val="false"/>
          <w:iCs w:val="false"/>
          <w:sz w:val="22"/>
          <w:szCs w:val="22"/>
        </w:rPr>
        <w:t xml:space="preserve"> Dit is het scharnierpunt naar deel 13: laat de discussie niet eindigen bij "dat is lastig", maar bij een concrete verwachting voor deel 13/14 — namelijk dat de relatie tussen KERN en het Mutatieplatform waarschijnlijk het meest zorgvuldige patroon nodig heeft, gegeven dat het kerndomein zich daar deels bevindt.</w:t>
      </w:r>
    </w:p>
    <w:p>
      <w:pPr>
        <w:pStyle w:val="Heading2"/>
        <w:spacing w:after="120" w:before="200"/>
      </w:pPr>
      <w:r>
        <w:rPr>
          <w:rFonts w:ascii="Georgia" w:cs="Georgia" w:eastAsia="Georgia" w:hAnsi="Georgia"/>
          <w:b/>
          <w:bCs/>
          <w:color w:val="2C5AA0"/>
          <w:sz w:val="28"/>
          <w:szCs w:val="28"/>
        </w:rPr>
        <w:t xml:space="preserve">5.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heel systeem in één keer geclassificeerd, zonder onderscheid tussen delen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 redeneert op applicatieniveau in plaats van op modelniveau — dezelfde denkfout als "applicatiegrens versus bounded-context-grens" uit deel 11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"zou elk stuk van dit systeem hetzelfde antwoord krijgen op de vraag uit stap 1?"</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Classificatie op basis van technische complexiteit ("dit is ingewikkeld, dus kerndomein")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Complexiteit en onderscheidend vermogen worden verward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"zou een deelnemer het verschil merken als dit precies zo complex bleef, maar door een kant-en-klare oplossing werd gedaan?"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Generiek domein toch als "belangrijk, dus investeren we erin" bestempeld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Belangrijk en strategisch onderscheidend worden verward — generieke domeinen zijn vaak wél onmisbaar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Herhaal: onmisbaar is niet hetzelfde als kerndomein; vraag waar het beter ingekocht of gecentraliseerd kan worden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Vijfde veld ingevuld met een algemene formulering zoals "meer focus nodig"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Ontwijking van de concrete consequentie, herkenbaar patroon uit eerdere delen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"wat doen we hierdoor wél of niet komend kwartaal, en wie merkt het als eerste?"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 wil meteen naar "hoe lossen we dit relatie-technisch op" tijdens opdracht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Vooruitlopen op deel 13/14, voordat de prioritering zelf klaar is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Erken de vraag als terecht, maar houd vast: "dat is precies waar we volgende keer beginnen — vandaag bepalen we alleen wélk deel het zwaarst weegt."</w:t>
            </w:r>
          </w:p>
        </w:tc>
      </w:tr>
    </w:tbl>
    <w:p>
      <w:pPr>
        <w:pStyle w:val="Heading2"/>
        <w:spacing w:after="120" w:before="200"/>
      </w:pPr>
      <w:r>
        <w:rPr>
          <w:rFonts w:ascii="Georgia" w:cs="Georgia" w:eastAsia="Georgia" w:hAnsi="Georgia"/>
          <w:b/>
          <w:bCs/>
          <w:color w:val="2C5AA0"/>
          <w:sz w:val="28"/>
          <w:szCs w:val="28"/>
        </w:rPr>
        <w:t xml:space="preserve">6. Beoordeling</w:t>
      </w:r>
    </w:p>
    <w:p>
      <w:pPr>
        <w:spacing w:after="140" w:line="300"/>
      </w:pPr>
      <w:r>
        <w:rPr>
          <w:rFonts w:ascii="Calibri" w:cs="Calibri" w:eastAsia="Calibri" w:hAnsi="Calibri"/>
          <w:b w:val="false"/>
          <w:bCs w:val="false"/>
          <w:i w:val="false"/>
          <w:iCs w:val="false"/>
          <w:sz w:val="22"/>
          <w:szCs w:val="22"/>
        </w:rPr>
        <w:t xml:space="preserve">Deel 12 wordt niet becijferd. Houd per groepje bij of de kerndomeinkeuze uit opdracht 4 aan drie eisen voldoet: stap 1 onderscheidt expliciet onderscheidend vermogen van belangrijkheid; stap 4 erkent dat het kerndomein zich over meerdere systemen uitstrekt in plaats van het aan één systeem toe te wijzen; en het vijfde veld benoemt een concrete komende-kwartaal-consequentie met een concreet team dat het als eerste zou merken. Noteer: voldoet / voldoet met hulp / voldoet niet.</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2 (herhaling van §2 en §3)</w:t>
      </w:r>
    </w:p>
    <w:p>
      <w:pPr>
        <w:pStyle w:val="ListParagraph"/>
        <w:numPr>
          <w:ilvl w:val="0"/>
          <w:numId w:val="1"/>
        </w:numPr>
        <w:spacing w:after="80"/>
      </w:pPr>
      <w:r>
        <w:rPr>
          <w:rFonts w:ascii="Calibri" w:cs="Calibri" w:eastAsia="Calibri" w:hAnsi="Calibri"/>
          <w:sz w:val="22"/>
          <w:szCs w:val="22"/>
        </w:rPr>
        <w:t xml:space="preserve">Uitwerkingen of eigen resultaten van deel 11, of dossierstuk 12-B als vervanging</w:t>
      </w:r>
    </w:p>
    <w:p>
      <w:pPr>
        <w:pStyle w:val="ListParagraph"/>
        <w:numPr>
          <w:ilvl w:val="0"/>
          <w:numId w:val="1"/>
        </w:numPr>
        <w:spacing w:after="80"/>
      </w:pPr>
      <w:r>
        <w:rPr>
          <w:rFonts w:ascii="Calibri" w:cs="Calibri" w:eastAsia="Calibri" w:hAnsi="Calibri"/>
          <w:sz w:val="22"/>
          <w:szCs w:val="22"/>
        </w:rPr>
        <w:t xml:space="preserve">Werkboek deel 12, inclusief dossierstukken 12-A en 12-B</w:t>
      </w:r>
    </w:p>
    <w:p>
      <w:pPr>
        <w:pStyle w:val="ListParagraph"/>
        <w:numPr>
          <w:ilvl w:val="0"/>
          <w:numId w:val="1"/>
        </w:numPr>
        <w:spacing w:after="80"/>
      </w:pPr>
      <w:r>
        <w:rPr>
          <w:rFonts w:ascii="Calibri" w:cs="Calibri" w:eastAsia="Calibri" w:hAnsi="Calibri"/>
          <w:sz w:val="22"/>
          <w:szCs w:val="22"/>
        </w:rPr>
        <w:t xml:space="preserve">Slidedeck deel 12</w:t>
      </w:r>
    </w:p>
    <w:p>
      <w:pPr>
        <w:pStyle w:val="ListParagraph"/>
        <w:numPr>
          <w:ilvl w:val="0"/>
          <w:numId w:val="1"/>
        </w:numPr>
        <w:spacing w:after="80"/>
      </w:pPr>
      <w:r>
        <w:rPr>
          <w:rFonts w:ascii="Calibri" w:cs="Calibri" w:eastAsia="Calibri" w:hAnsi="Calibri"/>
          <w:sz w:val="22"/>
          <w:szCs w:val="22"/>
        </w:rPr>
        <w:t xml:space="preserve">Blanco kerndomeinkeuze-invulbladen, minstens drie per groepje</w:t>
      </w:r>
    </w:p>
    <w:p>
      <w:pPr>
        <w:pStyle w:val="Heading2"/>
        <w:spacing w:after="120" w:before="200"/>
      </w:pPr>
      <w:r>
        <w:rPr>
          <w:rFonts w:ascii="Georgia" w:cs="Georgia" w:eastAsia="Georgia" w:hAnsi="Georgia"/>
          <w:b/>
          <w:bCs/>
          <w:color w:val="2C5AA0"/>
          <w:sz w:val="28"/>
          <w:szCs w:val="28"/>
        </w:rPr>
        <w:t xml:space="preserve">8. Aantekeningen voor de docent over de examenlijn</w:t>
      </w:r>
    </w:p>
    <w:p>
      <w:pPr>
        <w:pStyle w:val="ListParagraph"/>
        <w:numPr>
          <w:ilvl w:val="0"/>
          <w:numId w:val="1"/>
        </w:numPr>
        <w:spacing w:after="80"/>
      </w:pPr>
      <w:r>
        <w:rPr>
          <w:rFonts w:ascii="Calibri" w:cs="Calibri" w:eastAsia="Calibri" w:hAnsi="Calibri"/>
          <w:sz w:val="22"/>
          <w:szCs w:val="22"/>
        </w:rPr>
        <w:t xml:space="preserve">De iSAQB Advanced-module behandelt domain/subdomain: core, supporting, generic als vast onderdeel van het strategische curriculum. Dit deel herhaalt de definities niet vanaf nul (dat gebeurde in niveau 1, deel 3) maar past ze toe op landschapschaal — voor deelnemers die niveau 1 niet volgden, is dossierstuk 12-B voldoende om zonder die herhaling mee te kunnen doen.</w:t>
      </w:r>
    </w:p>
    <w:p>
      <w:pPr>
        <w:pStyle w:val="ListParagraph"/>
        <w:numPr>
          <w:ilvl w:val="0"/>
          <w:numId w:val="1"/>
        </w:numPr>
        <w:spacing w:after="80"/>
      </w:pPr>
      <w:r>
        <w:rPr>
          <w:rFonts w:ascii="Calibri" w:cs="Calibri" w:eastAsia="Calibri" w:hAnsi="Calibri"/>
          <w:sz w:val="22"/>
          <w:szCs w:val="22"/>
        </w:rPr>
        <w:t xml:space="preserve">Het onderscheid "classificatie volgt uit strategie, niet uit techniek" (opdracht 3) is precies het soort nuance dat in de mondelinge capstone-verdediging van CPSA-A wordt getoetst: een kandidaat die een systeem als kerndomein bestempelt zonder een strategisch argument, scoort daar zwak. Dit deel is de eerste plek in de cursus waar deelnemers die onderbouwing expliciet moeten oefenen.</w:t>
      </w:r>
    </w:p>
    <w:p>
      <w:pPr>
        <w:pStyle w:val="ListParagraph"/>
        <w:numPr>
          <w:ilvl w:val="0"/>
          <w:numId w:val="1"/>
        </w:numPr>
        <w:spacing w:after="80"/>
      </w:pPr>
      <w:r>
        <w:rPr>
          <w:rFonts w:ascii="Calibri" w:cs="Calibri" w:eastAsia="Calibri" w:hAnsi="Calibri"/>
          <w:sz w:val="22"/>
          <w:szCs w:val="22"/>
        </w:rPr>
        <w:t xml:space="preserve">Bewaar de investeringsvolgorde uit opdracht 5 zichtbaar — deel 13 en 14 verwijzen er terug naar wanneer relatiepatronen worden gekozen: een kerndomeinrelatie vraagt doorgaans een ander patroon (shared kernel, partnership) dan een relatie met een generiek of ondersteunend domein (customer/supplier, conformist).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2026-08-16T19:18:35.451Z</dcterms:created>
  <dcterms:modified xsi:type="dcterms:W3CDTF">2026-08-16T19:18:35.451Z</dcterms:modified>
</cp:coreProperties>
</file>

<file path=docProps/custom.xml><?xml version="1.0" encoding="utf-8"?>
<Properties xmlns="http://schemas.openxmlformats.org/officeDocument/2006/custom-properties" xmlns:vt="http://schemas.openxmlformats.org/officeDocument/2006/docPropsVTypes"/>
</file>