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12 — Core domain versus supporting versus generic: strategisch prioriteren</w:t>
      </w:r>
    </w:p>
    <w:p>
      <w:pPr>
        <w:spacing w:after="140" w:line="300"/>
      </w:pPr>
      <w:r>
        <w:rPr>
          <w:rFonts w:ascii="Calibri" w:cs="Calibri" w:eastAsia="Calibri" w:hAnsi="Calibri"/>
          <w:b w:val="false"/>
          <w:bCs w:val="false"/>
          <w:i w:val="false"/>
          <w:iCs w:val="false"/>
          <w:sz w:val="22"/>
          <w:szCs w:val="22"/>
        </w:rPr>
        <w:t xml:space="preserve">Werkboek · Ductus-cursus Domain-Driven Design · niveau 2 · deel 12 van 30</w:t>
      </w:r>
    </w:p>
    <w:p>
      <w:pPr>
        <w:spacing w:after="140" w:line="300"/>
      </w:pPr>
      <w:r>
        <w:rPr>
          <w:rFonts w:ascii="Calibri" w:cs="Calibri" w:eastAsia="Calibri" w:hAnsi="Calibri"/>
          <w:b w:val="false"/>
          <w:bCs w:val="false"/>
          <w:i w:val="false"/>
          <w:iCs w:val="false"/>
          <w:sz w:val="22"/>
          <w:szCs w:val="22"/>
        </w:rPr>
        <w:t xml:space="preserve">Zes opdrachten, samen ongeveer een dagdeel. Opdracht 1 tot en met 3 individueel of in tweetallen, opdracht 4 en 5 in groepjes van vier tot vijf, opdracht 6 plenair.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12-A — Notities uit de budgetsessie</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**Iris Tanghe:** "Ik heb budget voor twee kwartalen extra senior capaciteit. Genoeg voor misschien anderhalve context, niet voor vijf."</w:t>
            </w:r>
          </w:p>
          <w:p>
            <w:pPr>
              <w:spacing w:after="100" w:line="280"/>
            </w:pPr>
            <w:r>
              <w:rPr>
                <w:rFonts w:ascii="Calibri" w:cs="Calibri" w:eastAsia="Calibri" w:hAnsi="Calibri"/>
                <w:i/>
                <w:iCs/>
                <w:sz w:val="22"/>
                <w:szCs w:val="22"/>
              </w:rPr>
              <w:t xml:space="preserve">**Otto Feenstra:** "Het Mutatieplatform, natuurlijk. Daar zit het hele programma om."</w:t>
            </w:r>
          </w:p>
          <w:p>
            <w:pPr>
              <w:spacing w:after="100" w:line="280"/>
            </w:pPr>
            <w:r>
              <w:rPr>
                <w:rFonts w:ascii="Calibri" w:cs="Calibri" w:eastAsia="Calibri" w:hAnsi="Calibri"/>
                <w:i/>
                <w:iCs/>
                <w:sz w:val="22"/>
                <w:szCs w:val="22"/>
              </w:rPr>
              <w:t xml:space="preserve">**Vera Almeida:** "Het Mutatieplatform is een knooppunt. Het knooppunt is niet waar Meridiaan zich onderscheidt."</w:t>
            </w:r>
          </w:p>
          <w:p>
            <w:pPr>
              <w:spacing w:after="100" w:line="280"/>
            </w:pPr>
            <w:r>
              <w:rPr>
                <w:rFonts w:ascii="Calibri" w:cs="Calibri" w:eastAsia="Calibri" w:hAnsi="Calibri"/>
                <w:i/>
                <w:iCs/>
                <w:sz w:val="22"/>
                <w:szCs w:val="22"/>
              </w:rPr>
              <w:t xml:space="preserve">**Karsten Rooijakker:** "En authenticatie? Dat draait overal doorheen, en niemand hier zou beweren dat Meridiaan daar beter in is dan wie dan ook."</w:t>
            </w:r>
          </w:p>
          <w:p>
            <w:pPr>
              <w:spacing w:after="100" w:line="280"/>
            </w:pPr>
            <w:r>
              <w:rPr>
                <w:rFonts w:ascii="Calibri" w:cs="Calibri" w:eastAsia="Calibri" w:hAnsi="Calibri"/>
                <w:i/>
                <w:iCs/>
                <w:sz w:val="22"/>
                <w:szCs w:val="22"/>
              </w:rPr>
              <w:t xml:space="preserve">**Foppe Sijbesma:** "Ik hoor drie soorten argumenten door elkaar: waar zit het meeste werk, waar zit het meeste risico, en waarom zou een klant hier specifiek bij Meridiaan willen zijn."</w:t>
            </w:r>
          </w:p>
        </w:tc>
      </w:tr>
    </w:tbl>
    <w:p>
      <w:pPr>
        <w:pStyle w:val="Heading2"/>
        <w:spacing w:after="120" w:before="200"/>
      </w:pPr>
      <w:r>
        <w:rPr>
          <w:rFonts w:ascii="Georgia" w:cs="Georgia" w:eastAsia="Georgia" w:hAnsi="Georgia"/>
          <w:b/>
          <w:bCs/>
          <w:color w:val="2C5AA0"/>
          <w:sz w:val="28"/>
          <w:szCs w:val="28"/>
        </w:rPr>
        <w:t xml:space="preserve">Dossierstuk 12-B — De vijf kandidaat-contexts uit deel 11, met een aanvullende notitie per context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Kandidaat-context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Notitie uit het team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 (rechtvaststellingsdeel)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"Twintig jaar ervaring, elke uitzondering gekend, geen enkele concurrent heeft dit zomaar na te bouwen." — Vera</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 (koppelvlak- en rapportagedeel)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"Grotendeels standaardwerk om data naar andere systemen te krijgen." — Otto</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Werkgeversportaal (kernproces melden)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"Litteken van WGP 2.0, maar het proces zelf — een werkgever meldt een wijziging — is niet uniek voor Meridiaan." — Karsten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Werkgeversportaal (eigen inlogmodule)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"Gebouwd tijdens WGP 2.0, wachtwoordbeleid dat niemand meer durft aan te raken." — Karsten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Mutatieplatform (validatie- en routeringslogica)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"Zou, als het goed werkt, gewoon werken zoals het hoort — niemand zou het opvallen." — Otto</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Nabestaandenloket (rechtvaststelling partner-/wezenpensioen)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enige systeem waar we al bewijzen dat zorgvuldige rechtvaststelling werkt." — Daan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Wegwijzer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"Toont, stelt zelf niets vast." — Priya</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Documentopslag (in alle vijf systemen apart aanwezig)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"Elk systeem heeft zijn eigen manier om een bijlage vast te houden." — Vera</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Kerndomein, ondersteunend of generiek? (25 min)</w:t>
      </w:r>
    </w:p>
    <w:p>
      <w:pPr>
        <w:spacing w:after="140" w:line="300"/>
      </w:pPr>
      <w:r>
        <w:rPr>
          <w:rFonts w:ascii="Calibri" w:cs="Calibri" w:eastAsia="Calibri" w:hAnsi="Calibri"/>
          <w:b w:val="false"/>
          <w:bCs w:val="false"/>
          <w:i w:val="false"/>
          <w:iCs w:val="false"/>
          <w:sz w:val="22"/>
          <w:szCs w:val="22"/>
        </w:rPr>
        <w:t xml:space="preserve">Ken voor elk van de acht rijen in dossierstuk 12-B een categorie toe (kerndomein / ondersteunend / generiek) en onderbouw in één tot twee zinnen met de criteria uit de reader (§12.3): onderscheidend vermogen, of iemand anders het al beter oplost, en risico versus impact.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De twee foutrichtingen herkennen (15 min, tweetallen)</w:t>
      </w:r>
    </w:p>
    <w:p>
      <w:pPr>
        <w:spacing w:after="140" w:line="300"/>
      </w:pPr>
      <w:r>
        <w:rPr>
          <w:rFonts w:ascii="Calibri" w:cs="Calibri" w:eastAsia="Calibri" w:hAnsi="Calibri"/>
          <w:b w:val="false"/>
          <w:bCs w:val="false"/>
          <w:i w:val="false"/>
          <w:iCs w:val="false"/>
          <w:sz w:val="22"/>
          <w:szCs w:val="22"/>
        </w:rPr>
        <w:t xml:space="preserve">De reader (§12.4) beschrijft twee foutrichtingen: onderinvesteren in het kerndomein en overinvesteren in een generiek domein. Wijs voor elk van de volgende twee situaties aan welke foutrichting van toepassing is, en leg uit met welk criterium uit stap 1 of stap 2 van de kerndomeinkeuze je dat vaststelt.</w:t>
      </w:r>
    </w:p>
    <w:p>
      <w:pPr>
        <w:spacing w:after="140" w:line="300"/>
      </w:pPr>
      <w:r>
        <w:rPr>
          <w:rFonts w:ascii="Calibri" w:cs="Calibri" w:eastAsia="Calibri" w:hAnsi="Calibri"/>
          <w:b w:val="false"/>
          <w:bCs w:val="false"/>
          <w:i w:val="false"/>
          <w:iCs w:val="false"/>
          <w:sz w:val="22"/>
          <w:szCs w:val="22"/>
        </w:rPr>
        <w:t xml:space="preserve">a. Otto's eerste reactie: "Het Mutatieplatform, natuurlijk" — zonder onderscheid tussen het validatie- en routeringsdeel en het rechtvaststellingsdeel.</w:t>
      </w:r>
      <w:r>
        <w:rPr>
          <w:rFonts w:ascii="Calibri" w:cs="Calibri" w:eastAsia="Calibri" w:hAnsi="Calibri"/>
          <w:b w:val="false"/>
          <w:bCs w:val="false"/>
          <w:i w:val="false"/>
          <w:iCs w:val="false"/>
          <w:sz w:val="22"/>
          <w:szCs w:val="22"/>
        </w:rPr>
        <w:t xml:space="preserve">b. Het Werkgeversportaal onderhoudt al jaren een eigen inlogmodule met een eigen wachtwoordbeleid, gebouwd tijdens WGP 2.0.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Waarom de classificatie niet universeel is (15 min)</w:t>
      </w:r>
    </w:p>
    <w:p>
      <w:pPr>
        <w:spacing w:after="140" w:line="300"/>
      </w:pPr>
      <w:r>
        <w:rPr>
          <w:rFonts w:ascii="Calibri" w:cs="Calibri" w:eastAsia="Calibri" w:hAnsi="Calibri"/>
          <w:b w:val="false"/>
          <w:bCs w:val="false"/>
          <w:i w:val="false"/>
          <w:iCs w:val="false"/>
          <w:sz w:val="22"/>
          <w:szCs w:val="22"/>
        </w:rPr>
        <w:t xml:space="preserve">Stel je een fictieve tweede pensioenuitvoerder voor die zich, volgens haar eigen strategie, vooral onderscheidt op snelle en persoonlijke deelnemerscommunicatie (vergelijkbaar met Wegwijzer bij Meridiaan). Zou deze organisatie Wegwijzer waarschijnlijk ook als ondersteunend domein classificeren, of anders? Onderbouw in drie tot vier zinnen met het onderscheid uit §12.3 tussen technische complexiteit en strategisch onderscheidend vermogen.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Voer de kerndomeinkeuze uit voor het rechtvaststellingsdeel (30 min, groepjes van vier tot vijf)</w:t>
      </w:r>
    </w:p>
    <w:p>
      <w:pPr>
        <w:spacing w:after="140" w:line="300"/>
      </w:pPr>
      <w:r>
        <w:rPr>
          <w:rFonts w:ascii="Calibri" w:cs="Calibri" w:eastAsia="Calibri" w:hAnsi="Calibri"/>
          <w:b w:val="false"/>
          <w:bCs w:val="false"/>
          <w:i w:val="false"/>
          <w:iCs w:val="false"/>
          <w:sz w:val="22"/>
          <w:szCs w:val="22"/>
        </w:rPr>
        <w:t xml:space="preserve">Doorloop de vier stappen van de kerndomeinkeuze (reader §12.5) voor de kandidaat-context "rechtvaststelling op basis van mutatiegeschiedenis" — het deel dat zich, zoals de reader in §12.6 beschrijft, uitstrekt over delen van KERN, het Mutatieplatform en het Nabestaandenloket. Gebruik dossierstuk 12-B en het casusdossier (§2.1, §2.3, §2.4) als bronmateriaal. Sluit af met het vijfde veld.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De investeringsvolgorde voor het hele landschap (30 min, groepjes van vier tot vijf)</w:t>
      </w:r>
    </w:p>
    <w:p>
      <w:pPr>
        <w:spacing w:after="140" w:line="300"/>
      </w:pPr>
      <w:r>
        <w:rPr>
          <w:rFonts w:ascii="Calibri" w:cs="Calibri" w:eastAsia="Calibri" w:hAnsi="Calibri"/>
          <w:b w:val="false"/>
          <w:bCs w:val="false"/>
          <w:i w:val="false"/>
          <w:iCs w:val="false"/>
          <w:sz w:val="22"/>
          <w:szCs w:val="22"/>
        </w:rPr>
        <w:t xml:space="preserve">Stel op basis van opdracht 1 en 4 een investeringsvolgorde op: welke twee of drie kandidaat-contexts krijgen, gegeven Iris' budget van "anderhalve context", als eerste senior capaciteit? Beargumenteer waarom niet simpelweg de grootste of meest zichtbare context als eerste aan de beurt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Iris' scherpe vraag (15 min, plenair)</w:t>
      </w:r>
    </w:p>
    <w:p>
      <w:pPr>
        <w:spacing w:after="140" w:line="300"/>
      </w:pPr>
      <w:r>
        <w:rPr>
          <w:rFonts w:ascii="Calibri" w:cs="Calibri" w:eastAsia="Calibri" w:hAnsi="Calibri"/>
          <w:b w:val="false"/>
          <w:bCs w:val="false"/>
          <w:i w:val="false"/>
          <w:iCs w:val="false"/>
          <w:sz w:val="22"/>
          <w:szCs w:val="22"/>
        </w:rPr>
        <w:t xml:space="preserve">Iris stelt aan het eind van de casus (§12.6) de vraag: als rechtvaststelling het kerndomein is en dat stuk verspreid zit over drie systemen, betekent dat dan dat capaciteit uit drie teams tegelijk moet worden vrijgemaakt in plaats van één team te versterken? Bespreek gezamenlijk: welk risico brengt een kerndomein dat over meerdere kandidaat-contexts is verspreid met zich mee voor de investeringsbeslissing van dit deel, en wat zou dat kunnen betekenen voor hoe het team de relaties tussen die drie systemen in deel 13 en 14 gaat beschrijven?</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Kandidaat-context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Categorie</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Onderbouwing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 (rechtvaststellingsdeel)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Kerndomein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Twintig jaar opgebouwde, moeilijk te kopiëren kennis; direct bepalend voor het vertrouwen dat deelnemers en DNB in Meridiaan stellen.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 (koppelvlak- en rapportagedeel)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Generiek/ondersteunend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Standaardwerk om data te ontsluiten; een deelnemer zou het verschil niet merken als dit met een gangbare aanpak was opgelost.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Werkgeversportaal (kernproces melden)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Ondersteunend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Onmisbaar voor het landschap, maar het proces zelf (een werkgever meldt een wijziging) is niet uniek voor Meridiaan — vergelijkbare uitvoerders lossen dit vergelijkbaar op.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Werkgeversportaal (eigen inlogmodule)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Generiek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Authenticatie is een probleem dat Meridiaan met vrijwel elke organisatie deelt; zelf blijven onderhouden is een gewoonte, geen strategische keuze.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Mutatieplatform (validatie- en routeringslogica)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Ondersteunend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Risicovol en complex, maar Otto's eigen observatie ("zou gewoon werken zoals het hoort") wijst op afwezigheid van onderscheidend vermogen.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Nabestaandenloket (rechtvaststelling)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Kerndomein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Zelfde criterium als KERN-rechtvaststelling: dit is precies het stuk waarmee Meridiaan zich al bewijst, zoals Daan zelf aangeeft.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Wegwijzer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Ondersteunend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Onmisbaar voor deelnemers, maar toont uitsluitend wat andere systemen aanleveren — geen eigen vaststelling, dus geen kerndomein volgens Meridiaan's eigen strategie.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Documentopslag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Generiek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probleem dat in geen enkel opzicht specifiek is voor pensioenuitvoering; vijf keer apart oplossen is een gemiste kans op centralisatie, geen bewuste keuze.</w:t>
            </w:r>
          </w:p>
        </w:tc>
      </w:tr>
    </w:tbl>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a. </w:t>
      </w:r>
      <w:r>
        <w:rPr>
          <w:rFonts w:ascii="Calibri" w:cs="Calibri" w:eastAsia="Calibri" w:hAnsi="Calibri"/>
          <w:b/>
          <w:bCs/>
          <w:i w:val="false"/>
          <w:iCs w:val="false"/>
          <w:sz w:val="22"/>
          <w:szCs w:val="22"/>
        </w:rPr>
        <w:t xml:space="preserve">Onderinvesteren in het kerndomein.</w:t>
      </w:r>
      <w:r>
        <w:rPr>
          <w:rFonts w:ascii="Calibri" w:cs="Calibri" w:eastAsia="Calibri" w:hAnsi="Calibri"/>
          <w:b w:val="false"/>
          <w:bCs w:val="false"/>
          <w:i w:val="false"/>
          <w:iCs w:val="false"/>
          <w:sz w:val="22"/>
          <w:szCs w:val="22"/>
        </w:rPr>
        <w:t xml:space="preserve"> Otto benoemt het juiste systeem, maar niet het juiste stuk ervan: als de senior capaciteit naar "het Mutatieplatform" als geheel gaat, inclusief het generieke validatie- en routeringsdeel, krijgt het eigenlijke kerndomein — de rechtvaststellingslogica die zich deels ook buiten het Mutatieplatform bevindt — niet de aandacht die het verdient. Criterium uit stap 1: de vraag "zou een deelnemer het verschil merken" valt voor het validatiedeel anders uit dan voor het rechtvaststellingsdeel.</w:t>
      </w:r>
      <w:r>
        <w:rPr>
          <w:rFonts w:ascii="Calibri" w:cs="Calibri" w:eastAsia="Calibri" w:hAnsi="Calibri"/>
          <w:b w:val="false"/>
          <w:bCs w:val="false"/>
          <w:i w:val="false"/>
          <w:iCs w:val="false"/>
          <w:sz w:val="22"/>
          <w:szCs w:val="22"/>
        </w:rPr>
        <w:t xml:space="preserve">b. </w:t>
      </w:r>
      <w:r>
        <w:rPr>
          <w:rFonts w:ascii="Calibri" w:cs="Calibri" w:eastAsia="Calibri" w:hAnsi="Calibri"/>
          <w:b/>
          <w:bCs/>
          <w:i w:val="false"/>
          <w:iCs w:val="false"/>
          <w:sz w:val="22"/>
          <w:szCs w:val="22"/>
        </w:rPr>
        <w:t xml:space="preserve">Overinvesteren in een generiek domein.</w:t>
      </w:r>
      <w:r>
        <w:rPr>
          <w:rFonts w:ascii="Calibri" w:cs="Calibri" w:eastAsia="Calibri" w:hAnsi="Calibri"/>
          <w:b w:val="false"/>
          <w:bCs w:val="false"/>
          <w:i w:val="false"/>
          <w:iCs w:val="false"/>
          <w:sz w:val="22"/>
          <w:szCs w:val="22"/>
        </w:rPr>
        <w:t xml:space="preserve"> De eigen inlogmodule kost onderhoud en aandacht (het wachtwoordbeleid "durft niemand meer aan te raken", wat op zichzelf al een teken van onderinvestering in kwaliteit is) voor een probleem dat volgens stap 2 (iemand anders heeft dit al beter opgelost) niet zelf gebouwd hoefde te worden.</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Waarschijnlijk anders. Het onderscheid uit §12.3 is dat de classificatie volgt uit de strategie van de organisatie, niet uit de technische aard van het systeem: een fictieve uitvoerder die zich bewust positioneert op deelnemerscommunicatie zou een systeem als Wegwijzer waarschijnlijk als kerndomein classificeren, omdat een deelnemer daar wél het verschil zou merken tussen deze uitvoerder en een concurrent. Voor Meridiaan, dat zich volgens het casusdossier onderscheidt op betrouwbare rechtvaststelling tijdens een complexe stelselovergang, blijft Wegwijzer ondersteunend — hetzelfde systeem, met vergelijkbare technische complexiteit, maar een andere strategische betekenis.</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Een goede uitwerking:</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Stap 1: als de rechtvaststelling foutloos en volledig traceerbaar zou zijn over KERN, Mutatieplatform en Nabestaandenloket heen, zou dat direct merkbaar zijn voor deelnemers (minder onterechte afwijzingen of vertragingen), voor DNB (minder toezichtincidenten tijdens de Wtp-transitie) en voor Meridiaan zelf (het argument waarmee Vera het systeem al twintig jaar verdedigt).
Stap 2: er bestaat geen kant-en-klare, inkoopbare oplossing voor pensioenspecifieke rechtvaststelling onder de Wtp — dit moet Meridiaan zelf doen, en zelf goed doen.
Stap 3: risico is hoog (Wtp-deadline, DNB-toezicht) én impact bij een fout is hoog (een verkeerd vastgesteld recht raakt een individuele deelnemer direct) — beide wijzen onafhankelijk van elkaar naar zorgvuldige investering.
Stap 4: kerndomein, met eigen senior capaciteit uit alle drie de betrokken teams (KERN, Mutatieplatform, Nabestaandenloket), en doorlopend onderhoud van het gedeelde begrip van "recht" en "dienstverbandgeschiedenis" — niet een eenmalige bouwklus.
**Dat het verschil maakt:** als dit kwartaal capaciteit naar het validatie- en routeringsdeel van het Mutatieplatform gaat in plaats van naar dit gedeelde rechtvaststellingsstuk, blijft precies het onderscheidende deel van het landschap onderbemand — en Vera's team merkt dat het eerst, omdat zij als enigen twintig jaar aan uitzonderingen kennen die nu ergens anders opnieuw doordacht moeten worden zonder hen.</w:t>
            </w:r>
          </w:p>
        </w:tc>
      </w:tr>
    </w:tbl>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Een goede volgorde zet het rechtvaststellingsdeel (verspreid over KERN, Mutatieplatform, Nabestaandenloket) op de eerste plaats, met als tweede prioriteit ofwel het validatie- en routeringsdeel van het Mutatieplatform (omdat de rechtvaststelling zonder een werkend knooppunt niet gevoed wordt) ofwel de centralisatie van authenticatie/documentopslag (omdat dat op termijn capaciteit vrijspeelt uit alle vijf systemen tegelijk). Een zwakke volgorde kiest "het grootste systeem" (KERN als geheel, of het Mutatieplatform als geheel) zonder onderscheid te maken binnen dat systeem tussen het kern- en het generieke deel — precies de fout uit opdracht 2a.</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Een goed antwoord benoemt dat een kerndomein dat over meerdere systemen is verspreid een extra coördinatierisico met zich meebrengt dat een kerndomein binnen één systeem niet kent: drie teams moeten tegelijk capaciteit vrijmaken, en zonder een expliciete afspraak over hoe die drie zich tot elkaar verhouden (wie stelt wat vast, wie levert aan wie), kan de investering alsnog verwateren over drie afzonderlijke, niet-afgestemde inspanningen. Dit is precies waarom de investeringsbeslissing van dit deel niet compleet is zonder de relatiebeschrijving van deel 13 en 14: weten wélk deel het belangrijkst is, is niet hetzelfde als weten hoe de betrokken teams moeten samenwerken om dat deel goed te bouwen.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2026-08-16T19:18:35.424Z</dcterms:created>
  <dcterms:modified xsi:type="dcterms:W3CDTF">2026-08-16T19:18:35.424Z</dcterms:modified>
</cp:coreProperties>
</file>

<file path=docProps/custom.xml><?xml version="1.0" encoding="utf-8"?>
<Properties xmlns="http://schemas.openxmlformats.org/officeDocument/2006/custom-properties" xmlns:vt="http://schemas.openxmlformats.org/officeDocument/2006/docPropsVTypes"/>
</file>