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13 — Context mapping I: partnership, shared kernel, customer/supplier</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2 · deel 13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13 is het eerste van twee delen (samen met deel 14) waarin het contextmap-team de kern van zijn opdracht uitvoert: relaties tussen bounded contexts een naam geven. Dit deel behandelt de drie patronen die het meest met samenwerking en gedeeld belang te maken hebben; deel 14 behandelt de vier patronen die meer met bescherming en eenzijdige vertaling te maken hebben. Maak dit onderscheid vroeg in de sessie expliciet — het helpt deelnemers de zeven patronen niet als losse lijst te onthouden, maar als twee families met een eigen karakter.</w:t>
      </w:r>
    </w:p>
    <w:p>
      <w:pPr>
        <w:spacing w:after="140" w:line="300"/>
      </w:pPr>
      <w:r>
        <w:rPr>
          <w:rFonts w:ascii="Calibri" w:cs="Calibri" w:eastAsia="Calibri" w:hAnsi="Calibri"/>
          <w:b w:val="false"/>
          <w:bCs w:val="false"/>
          <w:i w:val="false"/>
          <w:iCs w:val="false"/>
          <w:sz w:val="22"/>
          <w:szCs w:val="22"/>
        </w:rPr>
        <w:t xml:space="preserve">De drie relaties in dit deel zijn bewust gekozen omdat ze de investeringsvolgorde uit deel 12 direct raken: twee van de drie (KERN-Mutatieplatform, Mutatieplatform-Nabestaandenloket) betreffen het kerndomein dat in deel 12 is aangewezen. Leg deze verbinding expliciet, zodat deelnemers ervaren dat context mapping geen losse oefening is, maar een vervolg op een eerder gemaakte strategische keuze.</w:t>
      </w:r>
    </w:p>
    <w:p>
      <w:pPr>
        <w:pStyle w:val="ListParagraph"/>
        <w:numPr>
          <w:ilvl w:val="0"/>
          <w:numId w:val="1"/>
        </w:numPr>
        <w:spacing w:after="80"/>
      </w:pPr>
      <w:r>
        <w:rPr>
          <w:rFonts w:ascii="Calibri" w:cs="Calibri" w:eastAsia="Calibri" w:hAnsi="Calibri"/>
          <w:sz w:val="22"/>
          <w:szCs w:val="22"/>
        </w:rPr>
        <w:t xml:space="preserve">**Module-onderdeel:** kern van het strategische deel van de iSAQB Advanced-module DDD, de context-mappingpatronen als geheel (hier: de eerste drie van zeven).</w:t>
      </w:r>
    </w:p>
    <w:p>
      <w:pPr>
        <w:pStyle w:val="ListParagraph"/>
        <w:numPr>
          <w:ilvl w:val="0"/>
          <w:numId w:val="1"/>
        </w:numPr>
        <w:spacing w:after="80"/>
      </w:pPr>
      <w:r>
        <w:rPr>
          <w:rFonts w:ascii="Calibri" w:cs="Calibri" w:eastAsia="Calibri" w:hAnsi="Calibri"/>
          <w:sz w:val="22"/>
          <w:szCs w:val="22"/>
        </w:rPr>
        <w:t xml:space="preserve">**Werkvorm:** het relatieblad.</w:t>
      </w:r>
    </w:p>
    <w:p>
      <w:pPr>
        <w:pStyle w:val="ListParagraph"/>
        <w:numPr>
          <w:ilvl w:val="0"/>
          <w:numId w:val="1"/>
        </w:numPr>
        <w:spacing w:after="80"/>
      </w:pPr>
      <w:r>
        <w:rPr>
          <w:rFonts w:ascii="Calibri" w:cs="Calibri" w:eastAsia="Calibri" w:hAnsi="Calibri"/>
          <w:sz w:val="22"/>
          <w:szCs w:val="22"/>
        </w:rPr>
        <w:t xml:space="preserve">**Duur:** één dagdeel (3,5 uur inclusief pauze).</w:t>
      </w:r>
    </w:p>
    <w:p>
      <w:pPr>
        <w:pStyle w:val="ListParagraph"/>
        <w:numPr>
          <w:ilvl w:val="0"/>
          <w:numId w:val="1"/>
        </w:numPr>
        <w:spacing w:after="80"/>
      </w:pPr>
      <w:r>
        <w:rPr>
          <w:rFonts w:ascii="Calibri" w:cs="Calibri" w:eastAsia="Calibri" w:hAnsi="Calibri"/>
          <w:sz w:val="22"/>
          <w:szCs w:val="22"/>
        </w:rPr>
        <w:t xml:space="preserve">**Voorbereiding deelnemers:** deel 11 en 12 afgerond, of dossierstuk 13-B vooraf gelezen.</w:t>
      </w:r>
    </w:p>
    <w:p>
      <w:pPr>
        <w:pStyle w:val="Heading2"/>
        <w:spacing w:after="120" w:before="200"/>
      </w:pPr>
      <w:r>
        <w:rPr>
          <w:rFonts w:ascii="Georgia" w:cs="Georgia" w:eastAsia="Georgia" w:hAnsi="Georgia"/>
          <w:b/>
          <w:bCs/>
          <w:color w:val="2C5AA0"/>
          <w:sz w:val="28"/>
          <w:szCs w:val="28"/>
        </w:rPr>
        <w:t xml:space="preserve">2. Tijdschema (dagdeel van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investeringsvolgorde deel 12, Iris' scherpe vraag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casus: drie lijnen, drie gesprekken (reader §13.2)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 patronen, drie soorten machtsverhouding (§13.3)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en 2 — macht en afhankelijkheid herkennen, patroon toekennen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Wanneer een patroon averechts werkt (§13.4)</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1:50-2:10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averechts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relatieblad: vier stappen en het vijfde veld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2:25-2:55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relatieblad KERN-Mutatieplatform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2:55-3:20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de drie relatiebladen vergelijken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3:20-3:30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plenair, vooruitblik deel 14</w:t>
            </w:r>
          </w:p>
        </w:tc>
      </w:tr>
    </w:tbl>
    <w:p>
      <w:pPr>
        <w:spacing w:after="140" w:line="300"/>
      </w:pPr>
      <w:r>
        <w:rPr>
          <w:rFonts w:ascii="Calibri" w:cs="Calibri" w:eastAsia="Calibri" w:hAnsi="Calibri"/>
          <w:b w:val="false"/>
          <w:bCs w:val="false"/>
          <w:i w:val="false"/>
          <w:iCs w:val="false"/>
          <w:sz w:val="22"/>
          <w:szCs w:val="22"/>
        </w:rPr>
        <w:t xml:space="preserve">Loop je uit, dan kun je opdracht 5 inkorten tot vraag (a) en (c), en vraag (b) als nabespreking meegeven. Schrap nooit opdracht 4: dit is de enige opdracht waarin deelnemers zelfstandig, zonder het voorbeeld van de reader, een shared kernel-relatie volledig uitwerken — het patroon dat in dit deel het meest wordt onderschat qua kosten.</w:t>
      </w:r>
    </w:p>
    <w:p>
      <w:pPr>
        <w:pStyle w:val="Heading2"/>
        <w:spacing w:after="120" w:before="200"/>
      </w:pPr>
      <w:r>
        <w:rPr>
          <w:rFonts w:ascii="Georgia" w:cs="Georgia" w:eastAsia="Georgia" w:hAnsi="Georgia"/>
          <w:b/>
          <w:bCs/>
          <w:color w:val="2C5AA0"/>
          <w:sz w:val="28"/>
          <w:szCs w:val="28"/>
        </w:rPr>
        <w:t xml:space="preserve">3. De opening</w:t>
      </w:r>
    </w:p>
    <w:p>
      <w:pPr>
        <w:spacing w:after="140" w:line="300"/>
      </w:pPr>
      <w:r>
        <w:rPr>
          <w:rFonts w:ascii="Calibri" w:cs="Calibri" w:eastAsia="Calibri" w:hAnsi="Calibri"/>
          <w:b w:val="false"/>
          <w:bCs w:val="false"/>
          <w:i w:val="false"/>
          <w:iCs w:val="false"/>
          <w:sz w:val="22"/>
          <w:szCs w:val="22"/>
        </w:rPr>
        <w:t xml:space="preserve">Begin met een korte herhaling: waarom stond aan het eind van deel 12 nog niets vast over hóe KERN, Mutatieplatform en Nabestaandenloket zich tot elkaar verhouden, ondanks dat het kerndomein daar was aangewezen? Teken vervolgens, net als Foppe in de casus, drie lege cirkels op het bord zonder lijnen ertussen, en vraag de groep: "Wat voor soort lijn hoort hier volgens jou tussen te staan — en waarom is dat geen technische vraag?"</w:t>
      </w:r>
    </w:p>
    <w:p>
      <w:pPr>
        <w:pStyle w:val="Heading2"/>
        <w:spacing w:after="120" w:before="200"/>
      </w:pPr>
      <w:r>
        <w:rPr>
          <w:rFonts w:ascii="Georgia" w:cs="Georgia" w:eastAsia="Georgia" w:hAnsi="Georgia"/>
          <w:b/>
          <w:bCs/>
          <w:color w:val="2C5AA0"/>
          <w:sz w:val="28"/>
          <w:szCs w:val="28"/>
        </w:rPr>
        <w:t xml:space="preserve">4. Didactische aanwijzingen per onderdeel</w:t>
      </w:r>
    </w:p>
    <w:p>
      <w:pPr>
        <w:spacing w:after="140" w:line="300"/>
      </w:pPr>
      <w:r>
        <w:rPr>
          <w:rFonts w:ascii="Calibri" w:cs="Calibri" w:eastAsia="Calibri" w:hAnsi="Calibri"/>
          <w:b/>
          <w:bCs/>
          <w:i w:val="false"/>
          <w:iCs w:val="false"/>
          <w:sz w:val="22"/>
          <w:szCs w:val="22"/>
        </w:rPr>
        <w:t xml:space="preserve">De casus (0:15-0:35).</w:t>
      </w:r>
      <w:r>
        <w:rPr>
          <w:rFonts w:ascii="Calibri" w:cs="Calibri" w:eastAsia="Calibri" w:hAnsi="Calibri"/>
          <w:b w:val="false"/>
          <w:bCs w:val="false"/>
          <w:i w:val="false"/>
          <w:iCs w:val="false"/>
          <w:sz w:val="22"/>
          <w:szCs w:val="22"/>
        </w:rPr>
        <w:t xml:space="preserve"> Laat deelnemers de drie uitspraken (Karsten, Vera, Daan/Willemijn) eerst zelf naast elkaar leggen en benoemen wat ze gemeenschappelijk en wat ze verschillend maakt, vóórdat je de patroonnamen introduceert. Het doel is dat de groep het onderscheid zelf voelt aankomen, niet dat ze een definitie krijgen en die vervolgens op de casus plakken.</w:t>
      </w:r>
    </w:p>
    <w:p>
      <w:pPr>
        <w:spacing w:after="140" w:line="300"/>
      </w:pPr>
      <w:r>
        <w:rPr>
          <w:rFonts w:ascii="Calibri" w:cs="Calibri" w:eastAsia="Calibri" w:hAnsi="Calibri"/>
          <w:b/>
          <w:bCs/>
          <w:i w:val="false"/>
          <w:iCs w:val="false"/>
          <w:sz w:val="22"/>
          <w:szCs w:val="22"/>
        </w:rPr>
        <w:t xml:space="preserve">Drie patronen (0:35-1:00).</w:t>
      </w:r>
      <w:r>
        <w:rPr>
          <w:rFonts w:ascii="Calibri" w:cs="Calibri" w:eastAsia="Calibri" w:hAnsi="Calibri"/>
          <w:b w:val="false"/>
          <w:bCs w:val="false"/>
          <w:i w:val="false"/>
          <w:iCs w:val="false"/>
          <w:sz w:val="22"/>
          <w:szCs w:val="22"/>
        </w:rPr>
        <w:t xml:space="preserve"> Besteed relatief de meeste tijd aan shared kernel — dit is in de praktijk het patroon dat het vaakst te lichtvaardig wordt gekozen ("we delen toch al veel, dan noemen we het maar shared kernel") zonder de doorlopende kosten te erkennen. Benadruk Vera's zin uit §13.6 ("dit is geen technische afspraak, dit is een belofte") als kernboodschap.</w:t>
      </w:r>
    </w:p>
    <w:p>
      <w:pPr>
        <w:spacing w:after="140" w:line="300"/>
      </w:pPr>
      <w:r>
        <w:rPr>
          <w:rFonts w:ascii="Calibri" w:cs="Calibri" w:eastAsia="Calibri" w:hAnsi="Calibri"/>
          <w:b/>
          <w:bCs/>
          <w:i w:val="false"/>
          <w:iCs w:val="false"/>
          <w:sz w:val="22"/>
          <w:szCs w:val="22"/>
        </w:rPr>
        <w:t xml:space="preserve">Opdracht 1 en 2.</w:t>
      </w:r>
      <w:r>
        <w:rPr>
          <w:rFonts w:ascii="Calibri" w:cs="Calibri" w:eastAsia="Calibri" w:hAnsi="Calibri"/>
          <w:b w:val="false"/>
          <w:bCs w:val="false"/>
          <w:i w:val="false"/>
          <w:iCs w:val="false"/>
          <w:sz w:val="22"/>
          <w:szCs w:val="22"/>
        </w:rPr>
        <w:t xml:space="preserve"> Verwacht dat sommige tweetallen KERN-Mutatieplatform als customer/supplier classificeren in plaats van shared kernel — dit is een redelijke eerste indruk (KERN lijkt de "leverancier" van de waarheid) en een goede aanleiding voor de discussie in uitwerking 2. Corrigeer niet meteen; laat de discussie tussen tweetallen eerst lopen en gebruik de plenaire nabespreking om het onderscheid scherp te krijgen.</w:t>
      </w:r>
    </w:p>
    <w:p>
      <w:pPr>
        <w:spacing w:after="140" w:line="300"/>
      </w:pPr>
      <w:r>
        <w:rPr>
          <w:rFonts w:ascii="Calibri" w:cs="Calibri" w:eastAsia="Calibri" w:hAnsi="Calibri"/>
          <w:b/>
          <w:bCs/>
          <w:i w:val="false"/>
          <w:iCs w:val="false"/>
          <w:sz w:val="22"/>
          <w:szCs w:val="22"/>
        </w:rPr>
        <w:t xml:space="preserve">Averechts (1:35-1:50) en opdracht 3.</w:t>
      </w:r>
      <w:r>
        <w:rPr>
          <w:rFonts w:ascii="Calibri" w:cs="Calibri" w:eastAsia="Calibri" w:hAnsi="Calibri"/>
          <w:b w:val="false"/>
          <w:bCs w:val="false"/>
          <w:i w:val="false"/>
          <w:iCs w:val="false"/>
          <w:sz w:val="22"/>
          <w:szCs w:val="22"/>
        </w:rPr>
        <w:t xml:space="preserve"> Dit onderdeel is bewust net zo zwaar als het "wat past wél"-onderdeel. Een deelnemer die alleen kan zeggen wélk patroon past, zonder te kunnen beargumenteren waarom de alternatieven niet passen, heeft het onderscheid nog niet echt te pakken — dit is ook precies wat in de iSAQB-module-toets en de CPSA-A-capstone wordt getoetst (niet alleen "wat is het juiste patroon", maar "verdedig waarom niet het andere").</w:t>
      </w:r>
    </w:p>
    <w:p>
      <w:pPr>
        <w:spacing w:after="140" w:line="300"/>
      </w:pPr>
      <w:r>
        <w:rPr>
          <w:rFonts w:ascii="Calibri" w:cs="Calibri" w:eastAsia="Calibri" w:hAnsi="Calibri"/>
          <w:b/>
          <w:bCs/>
          <w:i w:val="false"/>
          <w:iCs w:val="false"/>
          <w:sz w:val="22"/>
          <w:szCs w:val="22"/>
        </w:rPr>
        <w:t xml:space="preserve">Opdracht 4 (kern van dit dagdeel).</w:t>
      </w:r>
      <w:r>
        <w:rPr>
          <w:rFonts w:ascii="Calibri" w:cs="Calibri" w:eastAsia="Calibri" w:hAnsi="Calibri"/>
          <w:b w:val="false"/>
          <w:bCs w:val="false"/>
          <w:i w:val="false"/>
          <w:iCs w:val="false"/>
          <w:sz w:val="22"/>
          <w:szCs w:val="22"/>
        </w:rPr>
        <w:t xml:space="preserve"> Loop rond en let op stap 3: een veelgemaakte fout is dat groepjes "shared kernel" invullen als antwoord op stap 3, zonder concreet te maken wélk stuk model gedeeld wordt en welk wijzigingsproces daarbij hoort. Stuur terug met de vraag: "als Vera morgen een wijziging wil doorvoeren aan dit gedeelde stuk, wat gebeurt er dan letterlijk, stap voor stap?"</w:t>
      </w:r>
    </w:p>
    <w:p>
      <w:pPr>
        <w:spacing w:after="140" w:line="300"/>
      </w:pPr>
      <w:r>
        <w:rPr>
          <w:rFonts w:ascii="Calibri" w:cs="Calibri" w:eastAsia="Calibri" w:hAnsi="Calibri"/>
          <w:b/>
          <w:bCs/>
          <w:i w:val="false"/>
          <w:iCs w:val="false"/>
          <w:sz w:val="22"/>
          <w:szCs w:val="22"/>
        </w:rPr>
        <w:t xml:space="preserve">Opdracht 5.</w:t>
      </w:r>
      <w:r>
        <w:rPr>
          <w:rFonts w:ascii="Calibri" w:cs="Calibri" w:eastAsia="Calibri" w:hAnsi="Calibri"/>
          <w:b w:val="false"/>
          <w:bCs w:val="false"/>
          <w:i w:val="false"/>
          <w:iCs w:val="false"/>
          <w:sz w:val="22"/>
          <w:szCs w:val="22"/>
        </w:rPr>
        <w:t xml:space="preserve"> Vraag (b) is de lastigste en meest voorspellende voor deel 19 (architectuurpatronen) — laat groepjes niet te snel "ja, blijft hetzelfde patroon" concluderen zonder de operationele consequentie (prioritering tussen afnemers) te benoemen.</w:t>
      </w:r>
    </w:p>
    <w:p>
      <w:pPr>
        <w:spacing w:after="140" w:line="300"/>
      </w:pPr>
      <w:r>
        <w:rPr>
          <w:rFonts w:ascii="Calibri" w:cs="Calibri" w:eastAsia="Calibri" w:hAnsi="Calibri"/>
          <w:b/>
          <w:bCs/>
          <w:i w:val="false"/>
          <w:iCs w:val="false"/>
          <w:sz w:val="22"/>
          <w:szCs w:val="22"/>
        </w:rPr>
        <w:t xml:space="preserve">Opdracht 6.</w:t>
      </w:r>
      <w:r>
        <w:rPr>
          <w:rFonts w:ascii="Calibri" w:cs="Calibri" w:eastAsia="Calibri" w:hAnsi="Calibri"/>
          <w:b w:val="false"/>
          <w:bCs w:val="false"/>
          <w:i w:val="false"/>
          <w:iCs w:val="false"/>
          <w:sz w:val="22"/>
          <w:szCs w:val="22"/>
        </w:rPr>
        <w:t xml:space="preserve"> Dit is het scharnierpunt naar deel 20. Laat de discussie eindigen bij een concreet mechanisme (een terugkerend overleg, een eigenaar, een escalatieafspraak), niet bij "goede communicatie" als antwoord — dat laatste is precies het soort vaag antwoord dat in eerdere delen ook al werd afgekeurd.</w:t>
      </w:r>
    </w:p>
    <w:p>
      <w:pPr>
        <w:pStyle w:val="Heading2"/>
        <w:spacing w:after="120" w:before="200"/>
      </w:pPr>
      <w:r>
        <w:rPr>
          <w:rFonts w:ascii="Georgia" w:cs="Georgia" w:eastAsia="Georgia" w:hAnsi="Georgia"/>
          <w:b/>
          <w:bCs/>
          <w:color w:val="2C5AA0"/>
          <w:sz w:val="28"/>
          <w:szCs w:val="28"/>
        </w:rPr>
        <w:t xml:space="preserve">5.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Patroon gekozen op basis van "wat het minste overleg kost"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Verwarring tussen het patroon dat het makkelijkst voelt en het patroon dat bij de werkelijke afhankelijkheid past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"als jullie dit kiezen omdat het minder overleg kost, wiens probleem wordt het dan als de aanname straks toch verschilt?"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Shared kernel toegepast op een heel systeem in plaats van een klein, afgebakend begrippenpaar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Onderschatting van de kosten van een shared kernel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naar Vera's uitspraak in §13.3/13.6; vraag: "welke drie tot vijf woorden horen precies bij dit gedeelde stuk, en welke niet?"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Customer/supplier gekozen voor een relatie die eigenlijk wederzijds is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Team wil een gelijkwaardige relatie vermijden omdat die meer coördinatie kost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"als context B morgen iets verandert zonder overleg, voelt context A dat dan net zo hard als andersom?"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Vierde stap (averechts) overgeslagen of met één zin afgedaan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Onderdeel wordt als bijzaak gezien in plaats van als even belangrijk als stap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concreet door: "wat zou er letterlijk fout gaan, en wie zou het als eerste merken?"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Vijfde veld ingevuld met "goede afspraken maken"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Ontwijking van het concrete mechanisme, herkenbaar patroon uit eerdere delen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"welk mechanisme, met welke frequentie, met wie erbij?"</w:t>
            </w:r>
          </w:p>
        </w:tc>
      </w:tr>
    </w:tbl>
    <w:p>
      <w:pPr>
        <w:pStyle w:val="Heading2"/>
        <w:spacing w:after="120" w:before="200"/>
      </w:pPr>
      <w:r>
        <w:rPr>
          <w:rFonts w:ascii="Georgia" w:cs="Georgia" w:eastAsia="Georgia" w:hAnsi="Georgia"/>
          <w:b/>
          <w:bCs/>
          <w:color w:val="2C5AA0"/>
          <w:sz w:val="28"/>
          <w:szCs w:val="28"/>
        </w:rPr>
        <w:t xml:space="preserve">6. Beoordeling</w:t>
      </w:r>
    </w:p>
    <w:p>
      <w:pPr>
        <w:spacing w:after="140" w:line="300"/>
      </w:pPr>
      <w:r>
        <w:rPr>
          <w:rFonts w:ascii="Calibri" w:cs="Calibri" w:eastAsia="Calibri" w:hAnsi="Calibri"/>
          <w:b w:val="false"/>
          <w:bCs w:val="false"/>
          <w:i w:val="false"/>
          <w:iCs w:val="false"/>
          <w:sz w:val="22"/>
          <w:szCs w:val="22"/>
        </w:rPr>
        <w:t xml:space="preserve">Deel 13 wordt niet becijferd. Houd per groepje bij of het relatieblad uit opdracht 4 aan drie eisen voldoet: stap 1 beschrijft de afhankelijkheid expliciet in beide richtingen; stap 3 maakt het gedeelde stuk model concreet afgebakend (niet "heel KERN"); en het vijfde veld benoemt een concreet mechanisme dat voorkomt dat de relatie "vanzelf" verschuift. Noteer: voldoet / voldoet met hulp / voldoet niet.</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Casusdossier niveau 2 (herhaling van §5, de zeven relaties)</w:t>
      </w:r>
    </w:p>
    <w:p>
      <w:pPr>
        <w:pStyle w:val="ListParagraph"/>
        <w:numPr>
          <w:ilvl w:val="0"/>
          <w:numId w:val="1"/>
        </w:numPr>
        <w:spacing w:after="80"/>
      </w:pPr>
      <w:r>
        <w:rPr>
          <w:rFonts w:ascii="Calibri" w:cs="Calibri" w:eastAsia="Calibri" w:hAnsi="Calibri"/>
          <w:sz w:val="22"/>
          <w:szCs w:val="22"/>
        </w:rPr>
        <w:t xml:space="preserve">Uitwerkingen of eigen resultaten van deel 11 en 12</w:t>
      </w:r>
    </w:p>
    <w:p>
      <w:pPr>
        <w:pStyle w:val="ListParagraph"/>
        <w:numPr>
          <w:ilvl w:val="0"/>
          <w:numId w:val="1"/>
        </w:numPr>
        <w:spacing w:after="80"/>
      </w:pPr>
      <w:r>
        <w:rPr>
          <w:rFonts w:ascii="Calibri" w:cs="Calibri" w:eastAsia="Calibri" w:hAnsi="Calibri"/>
          <w:sz w:val="22"/>
          <w:szCs w:val="22"/>
        </w:rPr>
        <w:t xml:space="preserve">Werkboek deel 13, inclusief dossierstukken 13-A en 13-B</w:t>
      </w:r>
    </w:p>
    <w:p>
      <w:pPr>
        <w:pStyle w:val="ListParagraph"/>
        <w:numPr>
          <w:ilvl w:val="0"/>
          <w:numId w:val="1"/>
        </w:numPr>
        <w:spacing w:after="80"/>
      </w:pPr>
      <w:r>
        <w:rPr>
          <w:rFonts w:ascii="Calibri" w:cs="Calibri" w:eastAsia="Calibri" w:hAnsi="Calibri"/>
          <w:sz w:val="22"/>
          <w:szCs w:val="22"/>
        </w:rPr>
        <w:t xml:space="preserve">Slidedeck deel 13</w:t>
      </w:r>
    </w:p>
    <w:p>
      <w:pPr>
        <w:pStyle w:val="ListParagraph"/>
        <w:numPr>
          <w:ilvl w:val="0"/>
          <w:numId w:val="1"/>
        </w:numPr>
        <w:spacing w:after="80"/>
      </w:pPr>
      <w:r>
        <w:rPr>
          <w:rFonts w:ascii="Calibri" w:cs="Calibri" w:eastAsia="Calibri" w:hAnsi="Calibri"/>
          <w:sz w:val="22"/>
          <w:szCs w:val="22"/>
        </w:rPr>
        <w:t xml:space="preserve">Blanco relatieblad-invulbladen, minstens drie per groepje</w:t>
      </w:r>
    </w:p>
    <w:p>
      <w:pPr>
        <w:pStyle w:val="Heading2"/>
        <w:spacing w:after="120" w:before="200"/>
      </w:pPr>
      <w:r>
        <w:rPr>
          <w:rFonts w:ascii="Georgia" w:cs="Georgia" w:eastAsia="Georgia" w:hAnsi="Georgia"/>
          <w:b/>
          <w:bCs/>
          <w:color w:val="2C5AA0"/>
          <w:sz w:val="28"/>
          <w:szCs w:val="28"/>
        </w:rPr>
        <w:t xml:space="preserve">8. Aantekeningen voor de docent over de examenlijn</w:t>
      </w:r>
    </w:p>
    <w:p>
      <w:pPr>
        <w:pStyle w:val="ListParagraph"/>
        <w:numPr>
          <w:ilvl w:val="0"/>
          <w:numId w:val="1"/>
        </w:numPr>
        <w:spacing w:after="80"/>
      </w:pPr>
      <w:r>
        <w:rPr>
          <w:rFonts w:ascii="Calibri" w:cs="Calibri" w:eastAsia="Calibri" w:hAnsi="Calibri"/>
          <w:sz w:val="22"/>
          <w:szCs w:val="22"/>
        </w:rPr>
        <w:t xml:space="preserve">De iSAQB Advanced-module noemt context mapping expliciet als onderdeel van het strategische curriculum, zonder de patronen individueel te specificeren in de officiële syllabus — de indeling in zeven herkenbare patronen (drie hier, vier in deel 14) is een eigen didactische keuze van deze cursus om het onderwerp behapbaar te maken, niet een letterlijke overname van een curriculumlijst.</w:t>
      </w:r>
    </w:p>
    <w:p>
      <w:pPr>
        <w:pStyle w:val="ListParagraph"/>
        <w:numPr>
          <w:ilvl w:val="0"/>
          <w:numId w:val="1"/>
        </w:numPr>
        <w:spacing w:after="80"/>
      </w:pPr>
      <w:r>
        <w:rPr>
          <w:rFonts w:ascii="Calibri" w:cs="Calibri" w:eastAsia="Calibri" w:hAnsi="Calibri"/>
          <w:sz w:val="22"/>
          <w:szCs w:val="22"/>
        </w:rPr>
        <w:t xml:space="preserve">Bewaar de drie ingevulde relatiebladen zichtbaar voor deel 19: daar kiest het team, per relatie uit dit deel en deel 14, welk applicatie-architectuurpatroon (hexagonaal, gelaagd, CQRS) het gekozen context-mappingpatroon het beste ondersteunt. Een shared kernel-relatie stelt bijvoorbeeld andere eisen aan de architectuur dan een customer/supplier-relatie.</w:t>
      </w:r>
    </w:p>
    <w:p>
      <w:pPr>
        <w:pStyle w:val="ListParagraph"/>
        <w:numPr>
          <w:ilvl w:val="0"/>
          <w:numId w:val="1"/>
        </w:numPr>
        <w:spacing w:after="80"/>
      </w:pPr>
      <w:r>
        <w:rPr>
          <w:rFonts w:ascii="Calibri" w:cs="Calibri" w:eastAsia="Calibri" w:hAnsi="Calibri"/>
          <w:sz w:val="22"/>
          <w:szCs w:val="22"/>
        </w:rPr>
        <w:t xml:space="preserve">Voor deelnemers die alleen niveau 2 volgen: Willemijns rol in dit deel (het Nabestaandenloket-perspectief) verwijst naar niveau 1, maar het casusdossier van niveau 2 (§2.4, §4) bevat voldoende context om zonder niveau 1 mee te kunnen doen — verwijs bij vragen naar die paragrafen.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2026-08-16T19:18:36.905Z</dcterms:created>
  <dcterms:modified xsi:type="dcterms:W3CDTF">2026-08-16T19:18:36.905Z</dcterms:modified>
</cp:coreProperties>
</file>

<file path=docProps/custom.xml><?xml version="1.0" encoding="utf-8"?>
<Properties xmlns="http://schemas.openxmlformats.org/officeDocument/2006/custom-properties" xmlns:vt="http://schemas.openxmlformats.org/officeDocument/2006/docPropsVTypes"/>
</file>