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14 — Context mapping II: conformist, anti-corruption layer, open host service/published language</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14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14 is het tweede en afsluitende deel van het contextmap-tweeluik dat met deel 13 begon. Waar deel 13 de patronen behandelde die uitgaan van wederzijds belang, behandelt dit deel de vier patronen die draaien om aanpassen, beschermen en aanbieden aan een model dat de context zelf niet bezit. Open met dit onderscheid opnieuw expliciet — herhaal het niet als vaste kennis, laat de groep het zelf terughalen uit deel 13.</w:t>
      </w:r>
    </w:p>
    <w:p>
      <w:pPr>
        <w:spacing w:after="140" w:line="300"/>
      </w:pPr>
      <w:r>
        <w:rPr>
          <w:rFonts w:ascii="Calibri" w:cs="Calibri" w:eastAsia="Calibri" w:hAnsi="Calibri"/>
          <w:b w:val="false"/>
          <w:bCs w:val="false"/>
          <w:i w:val="false"/>
          <w:iCs w:val="false"/>
          <w:sz w:val="22"/>
          <w:szCs w:val="22"/>
        </w:rPr>
        <w:t xml:space="preserve">Dit deel is ook het deel waarin de context map van het volledige Meridiaan-landschap voor het eerst in samenhang op tafel ligt: alle zeven relaties uit het casusdossier krijgen aan het eind van deze sessie een patroon. Reserveer daarom tijd aan het eind (opdracht 6) om niet alleen de vier nieuwe relaties, maar het geheel te laten zien — dit is het moment waarop deelnemers de opdracht van het contextmap-team als één samenhangend resultaat ervaren, in plaats van als twee losse sessies.</w:t>
      </w:r>
    </w:p>
    <w:p>
      <w:pPr>
        <w:pStyle w:val="ListParagraph"/>
        <w:numPr>
          <w:ilvl w:val="0"/>
          <w:numId w:val="1"/>
        </w:numPr>
        <w:spacing w:after="80"/>
      </w:pPr>
      <w:r>
        <w:rPr>
          <w:rFonts w:ascii="Calibri" w:cs="Calibri" w:eastAsia="Calibri" w:hAnsi="Calibri"/>
          <w:sz w:val="22"/>
          <w:szCs w:val="22"/>
        </w:rPr>
        <w:t xml:space="preserve">**Module-onderdeel:** kern van het strategische deel van de iSAQB Advanced-module DDD, de context-mappingpatronen als geheel (hier: de resterende vier van zeven).</w:t>
      </w:r>
    </w:p>
    <w:p>
      <w:pPr>
        <w:pStyle w:val="ListParagraph"/>
        <w:numPr>
          <w:ilvl w:val="0"/>
          <w:numId w:val="1"/>
        </w:numPr>
        <w:spacing w:after="80"/>
      </w:pPr>
      <w:r>
        <w:rPr>
          <w:rFonts w:ascii="Calibri" w:cs="Calibri" w:eastAsia="Calibri" w:hAnsi="Calibri"/>
          <w:sz w:val="22"/>
          <w:szCs w:val="22"/>
        </w:rPr>
        <w:t xml:space="preserve">**Werkvorm:** het grensbeschermingsblad.</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deel 13 afgerond, of dossierstuk 14-B vooraf gelezen.</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 drie relaties uit deel 13, Foppe's aankondiging van "bescherming"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casus: vier relaties die niet om samenwerking draaien (reader §14.2)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Vier patronen, vier manieren om je te verhouden (§14.3)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en 2 — aanpassen of beschermen, patroon toekennen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 patronenparen tegenover elkaar (§14.4) en wanneer het averechts werkt (§14.5)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averechts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grensbeschermingsblad: vier stappen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en 5 — grensbeschermingsblad Wegwijzer-KERN en Mutatieplatform-Wegwijzer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de zeven relaties in samenhang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3:15-3:30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 — plenair, vooruitblik deel 15</w:t>
            </w:r>
          </w:p>
        </w:tc>
      </w:tr>
    </w:tbl>
    <w:p>
      <w:pPr>
        <w:spacing w:after="140" w:line="300"/>
      </w:pPr>
      <w:r>
        <w:rPr>
          <w:rFonts w:ascii="Calibri" w:cs="Calibri" w:eastAsia="Calibri" w:hAnsi="Calibri"/>
          <w:b w:val="false"/>
          <w:bCs w:val="false"/>
          <w:i w:val="false"/>
          <w:iCs w:val="false"/>
          <w:sz w:val="22"/>
          <w:szCs w:val="22"/>
        </w:rPr>
        <w:t xml:space="preserve">Loop je uit, dan kun je opdracht 5 laten vervallen als individuele groepsopdracht en in plaats daarvan plenair doorlopen — dit is de opdracht die het minst nieuw materiaal introduceert ten opzichte van opdracht 4. Schrap nooit opdracht 6: dit is het enige moment waarop de groep het complete, zevendelige resultaat van deel 13 en 14 samen ziet, en dat overzicht is wat het team aan het eind van niveau 2 (deel 22) moet kunnen presenteren.</w:t>
      </w:r>
    </w:p>
    <w:p>
      <w:pPr>
        <w:pStyle w:val="Heading2"/>
        <w:spacing w:after="120" w:before="200"/>
      </w:pPr>
      <w:r>
        <w:rPr>
          <w:rFonts w:ascii="Georgia" w:cs="Georgia" w:eastAsia="Georgia" w:hAnsi="Georgia"/>
          <w:b/>
          <w:bCs/>
          <w:color w:val="2C5AA0"/>
          <w:sz w:val="28"/>
          <w:szCs w:val="28"/>
        </w:rPr>
        <w:t xml:space="preserve">3. De opening</w:t>
      </w:r>
    </w:p>
    <w:p>
      <w:pPr>
        <w:spacing w:after="140" w:line="300"/>
      </w:pPr>
      <w:r>
        <w:rPr>
          <w:rFonts w:ascii="Calibri" w:cs="Calibri" w:eastAsia="Calibri" w:hAnsi="Calibri"/>
          <w:b w:val="false"/>
          <w:bCs w:val="false"/>
          <w:i w:val="false"/>
          <w:iCs w:val="false"/>
          <w:sz w:val="22"/>
          <w:szCs w:val="22"/>
        </w:rPr>
        <w:t xml:space="preserve">Begin met de vraag die aan het eind van deel 13 bleef hangen: "Foppe zei dat er nog vier patronen komen, en dat het bij twee daarvan niet om samenwerken gaat, maar om jezelf beschermen tegen een model dat je niet vertrouwt. Wat zou dat kunnen betekenen — een patroon dat over bescherming gaat in plaats van over samenwerking?" Laat de groep hardop associëren voordat je Priya's vraag uit de casus introduceert.</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De casus (0:15-0:35).</w:t>
      </w:r>
      <w:r>
        <w:rPr>
          <w:rFonts w:ascii="Calibri" w:cs="Calibri" w:eastAsia="Calibri" w:hAnsi="Calibri"/>
          <w:b w:val="false"/>
          <w:bCs w:val="false"/>
          <w:i w:val="false"/>
          <w:iCs w:val="false"/>
          <w:sz w:val="22"/>
          <w:szCs w:val="22"/>
        </w:rPr>
        <w:t xml:space="preserve"> Laat de groep eerst zelf Priya's schermafdruk-voorbeeld (een onvertaalde KERN-veldnaam, zichtbaar voor de deelnemer) beoordelen: is dit een probleem, of niet noodzakelijk? Het is een goede manier om het onderscheid tussen "conformist als bewuste keuze" en "conformist als verzuim" al vóór de patroondefinities te laten voelen.</w:t>
      </w:r>
    </w:p>
    <w:p>
      <w:pPr>
        <w:spacing w:after="140" w:line="300"/>
      </w:pPr>
      <w:r>
        <w:rPr>
          <w:rFonts w:ascii="Calibri" w:cs="Calibri" w:eastAsia="Calibri" w:hAnsi="Calibri"/>
          <w:b/>
          <w:bCs/>
          <w:i w:val="false"/>
          <w:iCs w:val="false"/>
          <w:sz w:val="22"/>
          <w:szCs w:val="22"/>
        </w:rPr>
        <w:t xml:space="preserve">Vier patronen (0:35-1:00).</w:t>
      </w:r>
      <w:r>
        <w:rPr>
          <w:rFonts w:ascii="Calibri" w:cs="Calibri" w:eastAsia="Calibri" w:hAnsi="Calibri"/>
          <w:b w:val="false"/>
          <w:bCs w:val="false"/>
          <w:i w:val="false"/>
          <w:iCs w:val="false"/>
          <w:sz w:val="22"/>
          <w:szCs w:val="22"/>
        </w:rPr>
        <w:t xml:space="preserve"> Besteed relatief de meeste tijd aan het onderscheid conformist/anti-corruption layer, omdat dat het paar is waar deelnemers de meeste beoordelingsruimte in hebben — er is geen absoluut goed antwoord, alleen een beargumenteerde afweging. Gebruik Vera's zin uit §14.2 ("het moet een keuze zijn, geen gewoonte") als kernboodschap voor dit hele deel.</w:t>
      </w:r>
    </w:p>
    <w:p>
      <w:pPr>
        <w:spacing w:after="140" w:line="300"/>
      </w:pPr>
      <w:r>
        <w:rPr>
          <w:rFonts w:ascii="Calibri" w:cs="Calibri" w:eastAsia="Calibri" w:hAnsi="Calibri"/>
          <w:b/>
          <w:bCs/>
          <w:i w:val="false"/>
          <w:iCs w:val="false"/>
          <w:sz w:val="22"/>
          <w:szCs w:val="22"/>
        </w:rPr>
        <w:t xml:space="preserve">Opdracht 1 en 2.</w:t>
      </w:r>
      <w:r>
        <w:rPr>
          <w:rFonts w:ascii="Calibri" w:cs="Calibri" w:eastAsia="Calibri" w:hAnsi="Calibri"/>
          <w:b w:val="false"/>
          <w:bCs w:val="false"/>
          <w:i w:val="false"/>
          <w:iCs w:val="false"/>
          <w:sz w:val="22"/>
          <w:szCs w:val="22"/>
        </w:rPr>
        <w:t xml:space="preserve"> Verwacht dat sommige tweetallen bij Mutatieplatform-Wegwijzer twijfelen tussen open host service en published language. Corrigeer niet meteen; laat §14.4 het werk doen in de nabespreking — het onderscheid (het aanbod zelf versus de taal van het aanbod) is subtiel en verdient een echte discussie, geen snelle correctie.</w:t>
      </w:r>
    </w:p>
    <w:p>
      <w:pPr>
        <w:spacing w:after="140" w:line="300"/>
      </w:pPr>
      <w:r>
        <w:rPr>
          <w:rFonts w:ascii="Calibri" w:cs="Calibri" w:eastAsia="Calibri" w:hAnsi="Calibri"/>
          <w:b/>
          <w:bCs/>
          <w:i w:val="false"/>
          <w:iCs w:val="false"/>
          <w:sz w:val="22"/>
          <w:szCs w:val="22"/>
        </w:rPr>
        <w:t xml:space="preserve">Twee patronenparen en averechts (1:35-2:05).</w:t>
      </w:r>
      <w:r>
        <w:rPr>
          <w:rFonts w:ascii="Calibri" w:cs="Calibri" w:eastAsia="Calibri" w:hAnsi="Calibri"/>
          <w:b w:val="false"/>
          <w:bCs w:val="false"/>
          <w:i w:val="false"/>
          <w:iCs w:val="false"/>
          <w:sz w:val="22"/>
          <w:szCs w:val="22"/>
        </w:rPr>
        <w:t xml:space="preserve"> Karstens waarschuwing over published language die eigenlijk gewoon interne documentatie is (§14.5) is de meest voorkomende denkfout in de praktijk buiten deze cursus. Besteed hier bewust tijd aan: vraag de groep een voorbeeld te geven van "documentatie die zich voordoet als published language maar het niet is."</w:t>
      </w:r>
    </w:p>
    <w:p>
      <w:pPr>
        <w:spacing w:after="140" w:line="300"/>
      </w:pPr>
      <w:r>
        <w:rPr>
          <w:rFonts w:ascii="Calibri" w:cs="Calibri" w:eastAsia="Calibri" w:hAnsi="Calibri"/>
          <w:b/>
          <w:bCs/>
          <w:i w:val="false"/>
          <w:iCs w:val="false"/>
          <w:sz w:val="22"/>
          <w:szCs w:val="22"/>
        </w:rPr>
        <w:t xml:space="preserve">Opdracht 4 en 5 (kern van dit dagdeel).</w:t>
      </w:r>
      <w:r>
        <w:rPr>
          <w:rFonts w:ascii="Calibri" w:cs="Calibri" w:eastAsia="Calibri" w:hAnsi="Calibri"/>
          <w:b w:val="false"/>
          <w:bCs w:val="false"/>
          <w:i w:val="false"/>
          <w:iCs w:val="false"/>
          <w:sz w:val="22"/>
          <w:szCs w:val="22"/>
        </w:rPr>
        <w:t xml:space="preserve"> Loop rond en let bij opdracht 4 op stap 2: een veelgemaakte fout is dat groepjes conformist kiezen zonder de kosten van het alternatief (anti-corruption layer) daadwerkelijk te benoemen — ze concluderen "conformist is makkelijker" zonder te weten wát een vertaallaag zou hebben gekost. Vraag door: "als je zou moeten bouwen wat je nu níet bouwt, wat zou dat dan zijn?" Let bij opdracht 5 op of groepjes Otto's waarschuwing serieus nemen in stap 3 — een oppervlakkige uitwerking noemt "open host service" zonder concreet te maken hoe het ontwerp een toekomstige, nog onbekende afnemer verdraagt.</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Dit is het overzichtsmoment. Laat de groep letterlijk de zeven relaties (drie uit deel 13, vier uit dit deel) op één vel of bord naast elkaar zetten voordat de vragen worden beantwoord — het patroon dat KERN in drie verschillende relaties drie verschillende rollen speelt (vraag a) is makkelijker te zien als het visueel naast elkaar staat dan als het alleen wordt opgesomd.</w:t>
      </w:r>
    </w:p>
    <w:p>
      <w:pPr>
        <w:spacing w:after="140" w:line="300"/>
      </w:pPr>
      <w:r>
        <w:rPr>
          <w:rFonts w:ascii="Calibri" w:cs="Calibri" w:eastAsia="Calibri" w:hAnsi="Calibri"/>
          <w:b/>
          <w:bCs/>
          <w:i w:val="false"/>
          <w:iCs w:val="false"/>
          <w:sz w:val="22"/>
          <w:szCs w:val="22"/>
        </w:rPr>
        <w:t xml:space="preserve">Opdracht 7.</w:t>
      </w:r>
      <w:r>
        <w:rPr>
          <w:rFonts w:ascii="Calibri" w:cs="Calibri" w:eastAsia="Calibri" w:hAnsi="Calibri"/>
          <w:b w:val="false"/>
          <w:bCs w:val="false"/>
          <w:i w:val="false"/>
          <w:iCs w:val="false"/>
          <w:sz w:val="22"/>
          <w:szCs w:val="22"/>
        </w:rPr>
        <w:t xml:space="preserve"> Dit is het scharnierpunt naar deel 21. Laat de discussie eindigen bij het concrete inzicht dat een beheerste vertraging minder schadelijk is dan een ongeziene doorwerking — niet bij een vaag "vertalen is veiliger". Vraag door: "noem één concreet moment waarop die vertraging in de praktijk een probleem zou kunnen worden, en hoe zou je dat opvangen?"</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Conformist gekozen zonder de kosten van het alternatief te kennen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Team redeneert vanuit gemak, niet vanuit een echte afweging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"wat zou een anti-corruption layer hier concreet hebben gekost, in bouw en onderhoud?"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Anti-corruption layer gebouwd "voor de zekerheid"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Bescherming als reflex in plaats van als antwoord op een reëel risico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"welk risico dekt deze laag precies af, en hoe vaak zou dat risico zich zonder de laag daadwerkelijk voordoen?"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 host service ontworpen met slechts één afnemer in gedachten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aanbod is in werkelijkheid maatwerk met een andere naam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"zou dit ontwerp ook werken voor een afnemer die we nu nog niet kennen?"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Published language gelijkgesteld aan "goed gedocumenteerde interne API"</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Verwarring tussen de eigen taal beschrijven en een eigen, losstaande taal ontwerpen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Karstens uitspraak in §14.5; vraag: "als de zender zijn interne naam morgen wijzigt, verandert deze vorm dan mee, of blijft hij staan?"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ingevuld met een algemene geruststelling in plaats van een concreet risico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het concrete mechanisme, herkenbaar uit deel 13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"wat merkt de context letterlijk als eerste, en wie ziet dat als eerste?"</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14 wordt niet becijferd. Houd per groepje bij of het grensbeschermingsblad uit opdracht 4 (Wegwijzer-KERN) aan drie eisen voldoet: stap 2 weegt de kosten van aanpassen expliciet tegen de kosten van beschermen af, in plaats van één kant als vanzelfsprekend te nemen; stap 3 maakt concreet wat het gekozen patroon van het team vraagt; en het vijfde veld benoemt een concreet, waarneembaar risico in plaats van een algemene geruststelling. Noteer: voldoet / voldoet met hulp / voldoet niet.</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2 (herhaling van §5, alle zeven relaties)</w:t>
      </w:r>
    </w:p>
    <w:p>
      <w:pPr>
        <w:pStyle w:val="ListParagraph"/>
        <w:numPr>
          <w:ilvl w:val="0"/>
          <w:numId w:val="1"/>
        </w:numPr>
        <w:spacing w:after="80"/>
      </w:pPr>
      <w:r>
        <w:rPr>
          <w:rFonts w:ascii="Calibri" w:cs="Calibri" w:eastAsia="Calibri" w:hAnsi="Calibri"/>
          <w:sz w:val="22"/>
          <w:szCs w:val="22"/>
        </w:rPr>
        <w:t xml:space="preserve">Uitwerkingen of eigen resultaten van deel 13</w:t>
      </w:r>
    </w:p>
    <w:p>
      <w:pPr>
        <w:pStyle w:val="ListParagraph"/>
        <w:numPr>
          <w:ilvl w:val="0"/>
          <w:numId w:val="1"/>
        </w:numPr>
        <w:spacing w:after="80"/>
      </w:pPr>
      <w:r>
        <w:rPr>
          <w:rFonts w:ascii="Calibri" w:cs="Calibri" w:eastAsia="Calibri" w:hAnsi="Calibri"/>
          <w:sz w:val="22"/>
          <w:szCs w:val="22"/>
        </w:rPr>
        <w:t xml:space="preserve">Werkboek deel 14, inclusief dossierstukken 14-A en 14-B</w:t>
      </w:r>
    </w:p>
    <w:p>
      <w:pPr>
        <w:pStyle w:val="ListParagraph"/>
        <w:numPr>
          <w:ilvl w:val="0"/>
          <w:numId w:val="1"/>
        </w:numPr>
        <w:spacing w:after="80"/>
      </w:pPr>
      <w:r>
        <w:rPr>
          <w:rFonts w:ascii="Calibri" w:cs="Calibri" w:eastAsia="Calibri" w:hAnsi="Calibri"/>
          <w:sz w:val="22"/>
          <w:szCs w:val="22"/>
        </w:rPr>
        <w:t xml:space="preserve">Slidedeck deel 14</w:t>
      </w:r>
    </w:p>
    <w:p>
      <w:pPr>
        <w:pStyle w:val="ListParagraph"/>
        <w:numPr>
          <w:ilvl w:val="0"/>
          <w:numId w:val="1"/>
        </w:numPr>
        <w:spacing w:after="80"/>
      </w:pPr>
      <w:r>
        <w:rPr>
          <w:rFonts w:ascii="Calibri" w:cs="Calibri" w:eastAsia="Calibri" w:hAnsi="Calibri"/>
          <w:sz w:val="22"/>
          <w:szCs w:val="22"/>
        </w:rPr>
        <w:t xml:space="preserve">Blanco grensbeschermingsblad-invulbladen, minstens vier per groepje</w:t>
      </w:r>
    </w:p>
    <w:p>
      <w:pPr>
        <w:pStyle w:val="ListParagraph"/>
        <w:numPr>
          <w:ilvl w:val="0"/>
          <w:numId w:val="1"/>
        </w:numPr>
        <w:spacing w:after="80"/>
      </w:pPr>
      <w:r>
        <w:rPr>
          <w:rFonts w:ascii="Calibri" w:cs="Calibri" w:eastAsia="Calibri" w:hAnsi="Calibri"/>
          <w:sz w:val="22"/>
          <w:szCs w:val="22"/>
        </w:rPr>
        <w:t xml:space="preserve">Een groot vel of digitaal bord om alle zeven relatiebladen (deel 13 en 14) gezamenlijk zichtbaar te maken bij opdracht 6</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Net als bij deel 13 geldt: de iSAQB Advanced-module noemt context mapping als onderdeel van het strategische curriculum, zonder de patronen individueel te specificeren. De indeling van dit deel (vier patronen, twee onderling verwante paren) is een eigen didactische keuze om het onderscheid tussen "aanpassen versus beschermen" en "aanbieden versus vertalen" behapbaar te maken.</w:t>
      </w:r>
    </w:p>
    <w:p>
      <w:pPr>
        <w:pStyle w:val="ListParagraph"/>
        <w:numPr>
          <w:ilvl w:val="0"/>
          <w:numId w:val="1"/>
        </w:numPr>
        <w:spacing w:after="80"/>
      </w:pPr>
      <w:r>
        <w:rPr>
          <w:rFonts w:ascii="Calibri" w:cs="Calibri" w:eastAsia="Calibri" w:hAnsi="Calibri"/>
          <w:sz w:val="22"/>
          <w:szCs w:val="22"/>
        </w:rPr>
        <w:t xml:space="preserve">Bewaar alle zeven ingevulde relatiebladen (deel 13 en 14) zichtbaar tot en met deel 22: de capstone daar vraagt het team de complete context map te presenteren en te verdedigen vanuit rollen — dit deel levert daarvoor het volledige materiaal.</w:t>
      </w:r>
    </w:p>
    <w:p>
      <w:pPr>
        <w:pStyle w:val="ListParagraph"/>
        <w:numPr>
          <w:ilvl w:val="0"/>
          <w:numId w:val="1"/>
        </w:numPr>
        <w:spacing w:after="80"/>
      </w:pPr>
      <w:r>
        <w:rPr>
          <w:rFonts w:ascii="Calibri" w:cs="Calibri" w:eastAsia="Calibri" w:hAnsi="Calibri"/>
          <w:sz w:val="22"/>
          <w:szCs w:val="22"/>
        </w:rPr>
        <w:t xml:space="preserve">Voor deelnemers die alleen niveau 2 volgen: Willemijns rol in dit deel bevestigt de anti-corruption layer die in niveau 1 is gebouwd. Het casusdossier van niveau 2 (§2.4, §5) bevat voldoende context om deze relatie te begrijpen zonder niveau 1 gelezen te hebben.</w:t>
      </w:r>
    </w:p>
    <w:p>
      <w:pPr>
        <w:pStyle w:val="ListParagraph"/>
        <w:numPr>
          <w:ilvl w:val="0"/>
          <w:numId w:val="1"/>
        </w:numPr>
        <w:spacing w:after="80"/>
      </w:pPr>
      <w:r>
        <w:rPr>
          <w:rFonts w:ascii="Calibri" w:cs="Calibri" w:eastAsia="Calibri" w:hAnsi="Calibri"/>
          <w:sz w:val="22"/>
          <w:szCs w:val="22"/>
        </w:rPr>
        <w:t xml:space="preserve">Dit deel sluit het contextmap-tweeluik af. Vanaf deel 15 verschuift de cursus van strategisch ontwerp naar samenwerkingsvormen (EventStorming) — benoem dit overgangsmoment expliciet aan het eind van de sessie, zodat deelnemers begrijpen dat de context map niet wordt losgelaten, maar het uitgangspunt wordt voor wat volgt.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2026-08-16T19:18:38.044Z</dcterms:created>
  <dcterms:modified xsi:type="dcterms:W3CDTF">2026-08-16T19:18:38.044Z</dcterms:modified>
</cp:coreProperties>
</file>

<file path=docProps/custom.xml><?xml version="1.0" encoding="utf-8"?>
<Properties xmlns="http://schemas.openxmlformats.org/officeDocument/2006/custom-properties" xmlns:vt="http://schemas.openxmlformats.org/officeDocument/2006/docPropsVTypes"/>
</file>