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14 — Context mapping II: conformist, anti-corruption layer, open host service/published language</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14 van 30</w:t>
      </w:r>
    </w:p>
    <w:p>
      <w:pPr>
        <w:spacing w:after="140" w:line="300"/>
      </w:pPr>
      <w:r>
        <w:rPr>
          <w:rFonts w:ascii="Calibri" w:cs="Calibri" w:eastAsia="Calibri" w:hAnsi="Calibri"/>
          <w:b w:val="false"/>
          <w:bCs w:val="false"/>
          <w:i w:val="false"/>
          <w:iCs w:val="false"/>
          <w:sz w:val="22"/>
          <w:szCs w:val="22"/>
        </w:rPr>
        <w:t xml:space="preserve">Zeven opdrachten, samen ongeveer een dagdeel. Opdracht 1 tot en met 3 individueel of in tweetallen, opdracht 4 tot en met 6 in groepjes van vier tot vijf, opdracht 7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14-A — Notities uit de relatiesessie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**Priya Chandra:** "Waarom neemt mijn team gewoon over wat KERN aanlevert, zonder dat iemand ooit heeft gevraagd of dat wel is wat wij nodig hebben?"</w:t>
            </w:r>
          </w:p>
          <w:p>
            <w:pPr>
              <w:spacing w:after="100" w:line="280"/>
            </w:pPr>
            <w:r>
              <w:rPr>
                <w:rFonts w:ascii="Calibri" w:cs="Calibri" w:eastAsia="Calibri" w:hAnsi="Calibri"/>
                <w:i/>
                <w:iCs/>
                <w:sz w:val="22"/>
                <w:szCs w:val="22"/>
              </w:rPr>
              <w:t xml:space="preserve">**Vera Almeida:** "Dat klopt. En het is niet per se fout — maar het moet een keuze zijn, geen gewoonte."</w:t>
            </w:r>
          </w:p>
          <w:p>
            <w:pPr>
              <w:spacing w:after="100" w:line="280"/>
            </w:pPr>
            <w:r>
              <w:rPr>
                <w:rFonts w:ascii="Calibri" w:cs="Calibri" w:eastAsia="Calibri" w:hAnsi="Calibri"/>
                <w:i/>
                <w:iCs/>
                <w:sz w:val="22"/>
                <w:szCs w:val="22"/>
              </w:rPr>
              <w:t xml:space="preserve">**Willemijn Brugman:** "Dat was geen luxe. Dat was noodzaak. KERN draagt twintig jaar aan uitzonderingen met zich mee, en die uitzonderingen horen niet in ons model thuis."</w:t>
            </w:r>
          </w:p>
          <w:p>
            <w:pPr>
              <w:spacing w:after="100" w:line="280"/>
            </w:pPr>
            <w:r>
              <w:rPr>
                <w:rFonts w:ascii="Calibri" w:cs="Calibri" w:eastAsia="Calibri" w:hAnsi="Calibri"/>
                <w:i/>
                <w:iCs/>
                <w:sz w:val="22"/>
                <w:szCs w:val="22"/>
              </w:rPr>
              <w:t xml:space="preserve">**Otto Feenstra:** "Wij bouwen niet voor Wegwijzer alleen. Als we voor elke afnemer een eigen koppeling op maat bouwen, hebben we straks weer een botsing zoals twee maanden geleden."</w:t>
            </w:r>
          </w:p>
          <w:p>
            <w:pPr>
              <w:spacing w:after="100" w:line="280"/>
            </w:pPr>
            <w:r>
              <w:rPr>
                <w:rFonts w:ascii="Calibri" w:cs="Calibri" w:eastAsia="Calibri" w:hAnsi="Calibri"/>
                <w:i/>
                <w:iCs/>
                <w:sz w:val="22"/>
                <w:szCs w:val="22"/>
              </w:rPr>
              <w:t xml:space="preserve">**Karsten Rooijakker:** "Als we gewoon opschrijven wat ons systeem intern noemt, en dat de published language noemen, hebben we niets vertaald. We hebben alleen onze eigen taal een andere naam gegeven."</w:t>
            </w:r>
          </w:p>
        </w:tc>
      </w:tr>
    </w:tbl>
    <w:p>
      <w:pPr>
        <w:pStyle w:val="Heading2"/>
        <w:spacing w:after="120" w:before="200"/>
      </w:pPr>
      <w:r>
        <w:rPr>
          <w:rFonts w:ascii="Georgia" w:cs="Georgia" w:eastAsia="Georgia" w:hAnsi="Georgia"/>
          <w:b/>
          <w:bCs/>
          <w:color w:val="2C5AA0"/>
          <w:sz w:val="28"/>
          <w:szCs w:val="28"/>
        </w:rPr>
        <w:t xml:space="preserve">Dossierstuk 14-B — Vier relaties, ruwe kenmerken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wordt uitgewisseld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Stabiliteit van het aangeleverde model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Huidige praktijk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Opgebouwde aanspraken, prognoses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 jarenlang stabiel voor de getoonde velden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Wegwijzer neemt KERN's model en terminologie ongewijzigd over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 ↔ KERN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Overlijdenssignalen en gerelateerde mutatiegegevens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 twintig jaar aan uitzonderingen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Nabestaandenloket vertaalt via een eigen, bestaande laag (niveau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Mutatieplatform ↔ Wegwijzer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Mutatiegegevens die Wegwijzer wil tonen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Nog in opbouw; bedoeld voor meerdere afnemers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Nog geen koppeling; ontwerpvraag ligt open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Werkgeversportaal ↔ Nabestaandenloket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Eén feit: een uitdiensttreding relevant voor een lopende vaststelling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Interne taal van het Werkgeversportaal, niet eerder losgemaakt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Nog geen gedeelde vorm afgesproken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Aanpassen of beschermen (20 min)</w:t>
      </w:r>
    </w:p>
    <w:p>
      <w:pPr>
        <w:spacing w:after="140" w:line="300"/>
      </w:pPr>
      <w:r>
        <w:rPr>
          <w:rFonts w:ascii="Calibri" w:cs="Calibri" w:eastAsia="Calibri" w:hAnsi="Calibri"/>
          <w:b w:val="false"/>
          <w:bCs w:val="false"/>
          <w:i w:val="false"/>
          <w:iCs w:val="false"/>
          <w:sz w:val="22"/>
          <w:szCs w:val="22"/>
        </w:rPr>
        <w:t xml:space="preserve">Bekijk dossierstuk 14-B. Beoordeel voor Wegwijzer-KERN en Nabestaandenloket-KERN, in eigen woorden en zonder nog een patroonnaam te noemen: is het verstandiger dat de context zich aanpast aan het model van de ander, of zich ertegen beschermt? Onderbouw met minstens één kenmerk uit de kolom "stabiliteit van het aangeleverde model".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Patroon toekennen (15 min, tweetallen)</w:t>
      </w:r>
    </w:p>
    <w:p>
      <w:pPr>
        <w:spacing w:after="140" w:line="300"/>
      </w:pPr>
      <w:r>
        <w:rPr>
          <w:rFonts w:ascii="Calibri" w:cs="Calibri" w:eastAsia="Calibri" w:hAnsi="Calibri"/>
          <w:b w:val="false"/>
          <w:bCs w:val="false"/>
          <w:i w:val="false"/>
          <w:iCs w:val="false"/>
          <w:sz w:val="22"/>
          <w:szCs w:val="22"/>
        </w:rPr>
        <w:t xml:space="preserve">Ken voor alle vier de relaties uit dossierstuk 14-B het passende patroon toe (conformist / anti-corruption layer / open host service / published language) op basis van reader §14.3. Vergelijk je antwoord met dat van je partner: bij welke relatie twijfelden jullie tussen open host service en published language, en welk argument uit §14.4 geeft de doorslag?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Averechts (20 min)</w:t>
      </w:r>
    </w:p>
    <w:p>
      <w:pPr>
        <w:spacing w:after="140" w:line="300"/>
      </w:pPr>
      <w:r>
        <w:rPr>
          <w:rFonts w:ascii="Calibri" w:cs="Calibri" w:eastAsia="Calibri" w:hAnsi="Calibri"/>
          <w:b w:val="false"/>
          <w:bCs w:val="false"/>
          <w:i w:val="false"/>
          <w:iCs w:val="false"/>
          <w:sz w:val="22"/>
          <w:szCs w:val="22"/>
        </w:rPr>
        <w:t xml:space="preserve">Kies twee van de vier relaties uit dossierstuk 14-B. Beschrijf voor elk welk ander patroon hier averechts zou werken, en wat daarvan het concrete gevolg zou zijn. Gebruik de vier voorbeelden uit de reader (§14.5) als model voor de vorm van je antwoord, maar herhaal ze niet letterlijk.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het grensbeschermingsblad uit voor Wegwijzer-KERN (30 min, groepjes van vier tot vijf)</w:t>
      </w:r>
    </w:p>
    <w:p>
      <w:pPr>
        <w:spacing w:after="140" w:line="300"/>
      </w:pPr>
      <w:r>
        <w:rPr>
          <w:rFonts w:ascii="Calibri" w:cs="Calibri" w:eastAsia="Calibri" w:hAnsi="Calibri"/>
          <w:b w:val="false"/>
          <w:bCs w:val="false"/>
          <w:i w:val="false"/>
          <w:iCs w:val="false"/>
          <w:sz w:val="22"/>
          <w:szCs w:val="22"/>
        </w:rPr>
        <w:t xml:space="preserve">De reader werkt in §14.7 samengevat uit hoe het team tot conformist komt voor deze relatie. Vul nu zelf de vier stappen van het grensbeschermingsblad (reader §14.6) volledig in, met dossierstuk 14-A en 14-B en het casusdossier (§2.1, §2.5, §5) als bronmateriaal. Wees concreet in stap 2: welke kosten weeg je precies tegen elkaar af? Sluit af met het vijfde veld.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Voer het grensbeschermingsblad uit voor Mutatieplatform-Wegwijzer (25 min, groepjes van vier tot vijf)</w:t>
      </w:r>
    </w:p>
    <w:p>
      <w:pPr>
        <w:spacing w:after="140" w:line="300"/>
      </w:pPr>
      <w:r>
        <w:rPr>
          <w:rFonts w:ascii="Calibri" w:cs="Calibri" w:eastAsia="Calibri" w:hAnsi="Calibri"/>
          <w:b w:val="false"/>
          <w:bCs w:val="false"/>
          <w:i w:val="false"/>
          <w:iCs w:val="false"/>
          <w:sz w:val="22"/>
          <w:szCs w:val="22"/>
        </w:rPr>
        <w:t xml:space="preserve">Vul het grensbeschermingsblad in voor deze relatie, met dossierstuk 14-A (Otto's uitspraak) en het casusdossier (§2.3, §2.5, §5) als bronmateriaal. Let in stap 3 specifiek op Otto's waarschuwing uit reader §14.5: hoe voorkomt jullie uitwerking dat het eerste aanbod stiekem toch op één afnemer wordt toegesneden?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zeven relaties in samenhang (25 min, groepjes van vier tot vijf)</w:t>
      </w:r>
    </w:p>
    <w:p>
      <w:pPr>
        <w:spacing w:after="140" w:line="300"/>
      </w:pPr>
      <w:r>
        <w:rPr>
          <w:rFonts w:ascii="Calibri" w:cs="Calibri" w:eastAsia="Calibri" w:hAnsi="Calibri"/>
          <w:b w:val="false"/>
          <w:bCs w:val="false"/>
          <w:i w:val="false"/>
          <w:iCs w:val="false"/>
          <w:sz w:val="22"/>
          <w:szCs w:val="22"/>
        </w:rPr>
        <w:t xml:space="preserve">Leg alle zeven relaties uit het casusdossier (§5) naast elkaar: de drie uit deel 13 en de vier uit dit deel. Beantwoord als groep:</w:t>
      </w:r>
    </w:p>
    <w:p>
      <w:pPr>
        <w:spacing w:after="140" w:line="300"/>
      </w:pPr>
      <w:r>
        <w:rPr>
          <w:rFonts w:ascii="Calibri" w:cs="Calibri" w:eastAsia="Calibri" w:hAnsi="Calibri"/>
          <w:b w:val="false"/>
          <w:bCs w:val="false"/>
          <w:i w:val="false"/>
          <w:iCs w:val="false"/>
          <w:sz w:val="22"/>
          <w:szCs w:val="22"/>
        </w:rPr>
        <w:t xml:space="preserve">a. KERN komt in drie van de zeven relaties voor (met Mutatieplatform, met Nabestaandenloket, met Wegwijzer), telkens met een ander patroon. Wat verklaart dat verschil — ligt het aan KERN, of aan de context aan de andere kant?</w:t>
      </w:r>
      <w:r>
        <w:rPr>
          <w:rFonts w:ascii="Calibri" w:cs="Calibri" w:eastAsia="Calibri" w:hAnsi="Calibri"/>
          <w:b w:val="false"/>
          <w:bCs w:val="false"/>
          <w:i w:val="false"/>
          <w:iCs w:val="false"/>
          <w:sz w:val="22"/>
          <w:szCs w:val="22"/>
        </w:rPr>
        <w:t xml:space="preserve">b. Stel dat Iris vraagt: "welke relatie in dit landschap loopt het meeste risico als we hem verkeerd classificeren?" Kies er één uit de volledige lijst van zeven en onderbouw.</w:t>
      </w:r>
      <w:r>
        <w:rPr>
          <w:rFonts w:ascii="Calibri" w:cs="Calibri" w:eastAsia="Calibri" w:hAnsi="Calibri"/>
          <w:b w:val="false"/>
          <w:bCs w:val="false"/>
          <w:i w:val="false"/>
          <w:iCs w:val="false"/>
          <w:sz w:val="22"/>
          <w:szCs w:val="22"/>
        </w:rPr>
        <w:t xml:space="preserve">c. Is de kaart van zeven relaties, zoals Daan tegen Iris zegt in reader §14.7, compleet? Wat zou er nog kunnen ontbreken, gegeven de vijf systemen uit het casusdossier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Wat een patroon feitelijk aflevert (20 min, plenair)</w:t>
      </w:r>
    </w:p>
    <w:p>
      <w:pPr>
        <w:spacing w:after="140" w:line="300"/>
      </w:pPr>
      <w:r>
        <w:rPr>
          <w:rFonts w:ascii="Calibri" w:cs="Calibri" w:eastAsia="Calibri" w:hAnsi="Calibri"/>
          <w:b w:val="false"/>
          <w:bCs w:val="false"/>
          <w:i w:val="false"/>
          <w:iCs w:val="false"/>
          <w:sz w:val="22"/>
          <w:szCs w:val="22"/>
        </w:rPr>
        <w:t xml:space="preserve">Bespreek gezamenlijk Willemijns antwoord op het vijfde veld voor Nabestaandenloket-KERN (reader §14.6): de anti-corruption layer zorgt dat een wijziging bij KERN pas bij het Nabestaandenloket doorwerkt nadat de vertaling is aangepast, niet automatisch. Bespreek: wat is de prijs die het Nabestaandenloket-team betaalt voor die vertraging, en waarom accepteert het team die prijs toch? Bewaar dit antwoord; deel 21 (domain events met published language) bouwt hierop voort.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pStyle w:val="ListParagraph"/>
        <w:numPr>
          <w:ilvl w:val="0"/>
          <w:numId w:val="1"/>
        </w:numPr>
        <w:spacing w:after="80"/>
      </w:pPr>
      <w:r>
        <w:rPr>
          <w:rFonts w:ascii="Calibri" w:cs="Calibri" w:eastAsia="Calibri" w:hAnsi="Calibri"/>
          <w:sz w:val="22"/>
          <w:szCs w:val="22"/>
        </w:rPr>
        <w:t xml:space="preserve">**Wegwijzer ↔ KERN:** aanpassen is hier verdedigbaar — het model van KERN is, voor precies de velden die Wegwijzer toont, al jarenlang stabiel, en een eigen vertaling zou kosten maken zonder een reëel risico af te dekken.</w:t>
      </w:r>
    </w:p>
    <w:p>
      <w:pPr>
        <w:pStyle w:val="ListParagraph"/>
        <w:numPr>
          <w:ilvl w:val="0"/>
          <w:numId w:val="1"/>
        </w:numPr>
        <w:spacing w:after="80"/>
      </w:pPr>
      <w:r>
        <w:rPr>
          <w:rFonts w:ascii="Calibri" w:cs="Calibri" w:eastAsia="Calibri" w:hAnsi="Calibri"/>
          <w:sz w:val="22"/>
          <w:szCs w:val="22"/>
        </w:rPr>
        <w:t xml:space="preserve">**Nabestaandenloket ↔ KERN:** beschermen is hier de juiste keuze — het model van KERN draagt twintig jaar aan uitzonderingen met zich mee, en die gelaagdheid is precies het risico waar het Nabestaandenloket zich, terecht, tegen wil afschermen.</w:t>
      </w:r>
    </w:p>
    <w:p>
      <w:pPr>
        <w:pStyle w:val="Heading2"/>
        <w:spacing w:after="120" w:before="200"/>
      </w:pPr>
      <w:r>
        <w:rPr>
          <w:rFonts w:ascii="Georgia" w:cs="Georgia" w:eastAsia="Georgia" w:hAnsi="Georgia"/>
          <w:b/>
          <w:bCs/>
          <w:color w:val="2C5AA0"/>
          <w:sz w:val="28"/>
          <w:szCs w:val="28"/>
        </w:rPr>
        <w:t xml:space="preserve">Uitwerking 2</w:t>
      </w:r>
    </w:p>
    <w:p>
      <w:pPr>
        <w:pStyle w:val="ListParagraph"/>
        <w:numPr>
          <w:ilvl w:val="0"/>
          <w:numId w:val="1"/>
        </w:numPr>
        <w:spacing w:after="80"/>
      </w:pPr>
      <w:r>
        <w:rPr>
          <w:rFonts w:ascii="Calibri" w:cs="Calibri" w:eastAsia="Calibri" w:hAnsi="Calibri"/>
          <w:sz w:val="22"/>
          <w:szCs w:val="22"/>
        </w:rPr>
        <w:t xml:space="preserve">Wegwijzer ↔ KERN: **conformist** — bewuste aanpassing aan een stabiel model.</w:t>
      </w:r>
    </w:p>
    <w:p>
      <w:pPr>
        <w:pStyle w:val="ListParagraph"/>
        <w:numPr>
          <w:ilvl w:val="0"/>
          <w:numId w:val="1"/>
        </w:numPr>
        <w:spacing w:after="80"/>
      </w:pPr>
      <w:r>
        <w:rPr>
          <w:rFonts w:ascii="Calibri" w:cs="Calibri" w:eastAsia="Calibri" w:hAnsi="Calibri"/>
          <w:sz w:val="22"/>
          <w:szCs w:val="22"/>
        </w:rPr>
        <w:t xml:space="preserve">Nabestaandenloket ↔ KERN: **anti-corruption layer** — bewuste bescherming tegen een gelaagd, historisch model.</w:t>
      </w:r>
    </w:p>
    <w:p>
      <w:pPr>
        <w:pStyle w:val="ListParagraph"/>
        <w:numPr>
          <w:ilvl w:val="0"/>
          <w:numId w:val="1"/>
        </w:numPr>
        <w:spacing w:after="80"/>
      </w:pPr>
      <w:r>
        <w:rPr>
          <w:rFonts w:ascii="Calibri" w:cs="Calibri" w:eastAsia="Calibri" w:hAnsi="Calibri"/>
          <w:sz w:val="22"/>
          <w:szCs w:val="22"/>
        </w:rPr>
        <w:t xml:space="preserve">Mutatieplatform ↔ Wegwijzer: **open host service** — een bewust ontworpen, voor meerdere afnemers bedoeld aanbod.</w:t>
      </w:r>
    </w:p>
    <w:p>
      <w:pPr>
        <w:pStyle w:val="ListParagraph"/>
        <w:numPr>
          <w:ilvl w:val="0"/>
          <w:numId w:val="1"/>
        </w:numPr>
        <w:spacing w:after="80"/>
      </w:pPr>
      <w:r>
        <w:rPr>
          <w:rFonts w:ascii="Calibri" w:cs="Calibri" w:eastAsia="Calibri" w:hAnsi="Calibri"/>
          <w:sz w:val="22"/>
          <w:szCs w:val="22"/>
        </w:rPr>
        <w:t xml:space="preserve">Werkgeversportaal ↔ Nabestaandenloket: **published language** — een gedeelde vorm voor één specifiek feit, zonder dat er een breder aanbod achter zit.</w:t>
      </w:r>
    </w:p>
    <w:p>
      <w:pPr>
        <w:spacing w:after="140" w:line="300"/>
      </w:pPr>
      <w:r>
        <w:rPr>
          <w:rFonts w:ascii="Calibri" w:cs="Calibri" w:eastAsia="Calibri" w:hAnsi="Calibri"/>
          <w:b w:val="false"/>
          <w:bCs w:val="false"/>
          <w:i w:val="false"/>
          <w:iCs w:val="false"/>
          <w:sz w:val="22"/>
          <w:szCs w:val="22"/>
        </w:rPr>
        <w:t xml:space="preserve">Een veelvoorkomend discussiepunt is of Mutatieplatform-Wegwijzer niet ook published language nodig heeft naast open host service. Het argument dat de doorslag geeft: in het casusdossier is deze relatie uitdrukkelijk toegewezen aan open host service als het patroon dat de aard van de relatie (één stabiel aanbod voor meerdere afnemers) typeert; een published language kan daar in de uitwerking bij horen (§14.4), maar is niet het patroon dat de relatie zelf definieert — dat blijft, voor deze opdracht, open host service.</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Twee voorbeelduitwerkingen (andere combinaties zijn ook geldig, mits het gevolg concreet beargumenteerd wordt):</w:t>
      </w:r>
    </w:p>
    <w:p>
      <w:pPr>
        <w:pStyle w:val="ListParagraph"/>
        <w:numPr>
          <w:ilvl w:val="0"/>
          <w:numId w:val="1"/>
        </w:numPr>
        <w:spacing w:after="80"/>
      </w:pPr>
      <w:r>
        <w:rPr>
          <w:rFonts w:ascii="Calibri" w:cs="Calibri" w:eastAsia="Calibri" w:hAnsi="Calibri"/>
          <w:sz w:val="22"/>
          <w:szCs w:val="22"/>
        </w:rPr>
        <w:t xml:space="preserve">**Wegwijzer ↔ KERN:** anti-corruption layer zou hier averechts werken — het zou Wegwijzer, een klein en relatief nieuw team, opzadelen met doorlopend vertaalonderhoud voor een risico (instabiliteit van KERN's model op deze specifieke velden) dat zich in de praktijk niet voordoet. De kosten van bescherming worden hier niet terugverdiend.</w:t>
      </w:r>
    </w:p>
    <w:p>
      <w:pPr>
        <w:pStyle w:val="ListParagraph"/>
        <w:numPr>
          <w:ilvl w:val="0"/>
          <w:numId w:val="1"/>
        </w:numPr>
        <w:spacing w:after="80"/>
      </w:pPr>
      <w:r>
        <w:rPr>
          <w:rFonts w:ascii="Calibri" w:cs="Calibri" w:eastAsia="Calibri" w:hAnsi="Calibri"/>
          <w:sz w:val="22"/>
          <w:szCs w:val="22"/>
        </w:rPr>
        <w:t xml:space="preserve">**Mutatieplatform ↔ Wegwijzer:** conformist zou hier averechts werken — het Mutatieplatform is zelf de aanbiedende partij, niet de partij die zich aan een ander model aanpast; conformist veronderstelt een context die zich voegt naar een ánder model, en dat past niet bij een relatie waarin juist het Mutatieplatform het aanbod bepaalt.</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Een goede uitwerking: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het model komt van KERN, betreft opgebouwde aanspraken en prognoses, en is voor precies deze velden al jarenlang stabiel gebleken — in tegenstelling tot de bredere, gelaagde geschiedenis van KERN als geheel.
Stap 2: aanpassen kost weinig extra bouw- en onderhoudswerk voor een klein team dat nieuw is bij Meridiaan; beschermen zou een vertaalcomponent vragen die doorlopend onderhoud kost, voor een risico dat op deze specifieke velden beperkt is.
Stap 3: conformist, met als concrete afspraak dat Wegwijzer een vaste, benoemde contactpersoon bij KERN krijgt die vooraf waarschuwt bij wijzigingen aan de getoonde velden — zodat conformist een gedragen keuze blijft, geen stilzwijgende gewoonte.
Stap 4: zonder deze afspraak loopt Wegwijzer het risico dat een wijziging bij KERN ongemerkt doorwerkt naar wat deelnemers te zien krijgen, zonder dat iemand bij Wegwijzer de kans heeft gehad de vertaling — of in dit geval: de presentatie — daarop aan te passen.
**Dat het verschil maakt:** als KERN morgen een veld wijzigt zonder waarschuwing, merkt Wegwijzer dat pas wanneer een deelnemer een vraag stelt over een vreemd getoond cijfer. Dat is een acceptabel risico zolang de waarschuwingsafspraak uit stap 3 daadwerkelijk werkt; zonder die afspraak is het risico dat conformist juist had moeten voorkomen — namelijk blind meebewegen — niet afgedekt.</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Een goede uitwerking: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Stap 1: het model komt van het Mutatieplatform zelf, dat nog in opbouw is en uitdrukkelijk bedoeld is om meerdere afnemers te bedienen, niet alleen Wegwijzer.
Stap 2: een koppeling op maat voor Wegwijzer alleen kost nu weinig, maar bindt het Mutatieplatform aan Wegwijzers release-planning en vraagt straks, bij een volgende afnemer, alsnog een generiek ontwerp — dubbel werk. Een open host service kost nu meer ontwerptijd, maar voorkomt die herhaling.
Stap 3: open host service, met als concrete afspraak dat het eerste aanbod beperkt blijft tot de gegevens die Wegwijzer nu al toont, in een vorm die niet is toegesneden op Wegwijzers interne structuur maar op wat een willekeurige afnemer nodig zou hebben. Otto's waarschuwing wordt geborgd door het ontwerp te laten toetsen aan de vraag "zou dit ook werken voor een afnemer die we nu nog niet kennen?", niet alleen aan Wegwijzers huidige wensen.
Stap 4: zonder deze aanpak ontstaat een koppeling die feitelijk maatwerk is met de naam "open host service" erop geplakt — zodra een tweede afnemer zich meldt, moet het aanbod alsnog opnieuw ontworpen worden, met alle vertraging die daarbij hoort.
**Dat het verschil maakt:** als het Mutatieplatform zijn interne model morgen wijzigt, mag Wegwijzer daar niets van merken zolang het aanbod zelf niet wijzigt — dat is precies het risico dat open host service moet afdekken. Merkt Wegwijzer het toch, dan was het aanbod in werkelijkheid geen open host service maar verkapt maatwerk.</w:t>
            </w:r>
          </w:p>
        </w:tc>
      </w:tr>
    </w:tbl>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a. Het verschil ligt vooral aan de context aan de andere kant van KERN, niet aan KERN zelf: Wegwijzer heeft geen eigen autoriteit over enig gegeven en toont alleen wat stabiel genoeg is om over te nemen (conformist); het Nabestaandenloket heeft een eigen, zorgvuldig bewaakt rechtvaststellingsmodel dat het wil beschermen tegen KERN's historische gelaagdheid (anti-corruption layer); het Mutatieplatform is zelf de aanbiedende partij richting toekomstige afnemers, niet de partij die zich aan KERN aanpast (dit is feitelijk geen KERN-relatie in dezelfde zin, maar illustreert dat de rol van een context — ontvanger, beschermer, aanbieder — bepalender is dan welk systeem er aan de andere kant staat).</w:t>
      </w:r>
      <w:r>
        <w:rPr>
          <w:rFonts w:ascii="Calibri" w:cs="Calibri" w:eastAsia="Calibri" w:hAnsi="Calibri"/>
          <w:b w:val="false"/>
          <w:bCs w:val="false"/>
          <w:i w:val="false"/>
          <w:iCs w:val="false"/>
          <w:sz w:val="22"/>
          <w:szCs w:val="22"/>
        </w:rPr>
        <w:t xml:space="preserve">b. Een verdedigbaar antwoord is KERN-Mutatieplatform (shared kernel, deel 13): dit is de relatie waarin de eerdere botsing zich al één keer voordeed, rond precies het begrippenpaar "deelnemer" en "dienstverband", en een verkeerde classificatie hier (te licht of te zwaar) laat dat risico opnieuw open. Een even verdedigbaar antwoord is Wegwijzer-KERN (conformist): omdat conformist het patroon is dat het makkelijkst per ongeluk ontstaat in plaats van bewust gekozen wordt, is het risico dat niemand ooit toetst of de keuze nog klopt hier het grootst.</w:t>
      </w:r>
      <w:r>
        <w:rPr>
          <w:rFonts w:ascii="Calibri" w:cs="Calibri" w:eastAsia="Calibri" w:hAnsi="Calibri"/>
          <w:b w:val="false"/>
          <w:bCs w:val="false"/>
          <w:i w:val="false"/>
          <w:iCs w:val="false"/>
          <w:sz w:val="22"/>
          <w:szCs w:val="22"/>
        </w:rPr>
        <w:t xml:space="preserve">c. Het is niet compleet: de vijf systemen in het casusdossier §2 kennen meer koppelvlakken dan de zeven benoemde — het casusdossier zegt dit zelf expliciet in §5. Denkbare ontbrekende relaties: Werkgeversportaal-KERN (het Werkgeversportaal levert uiteindelijk ook direct aan KERN, buiten het Mutatieplatform om, in de huidige, nog niet gemoderniseerde situatie) en Wegwijzer-Nabestaandenloket (Wegwijzer raadpleegt volgens §2.5 ook gegevens uit het Nabestaandenloket, een relatie die in dit niveau geen eigen patroon krijgt).</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Een goed antwoord benoemt dat de prijs vertraging is: een wijziging bij KERN werkt niet onmiddellijk door in het Nabestaandenloket, maar pas nadat iemand de vertaling heeft bijgewerkt — in de tussentijd loopt het Nabestaandenloket het risico op een klein, tijdelijk verschil tussen wat KERN feitelijk levert en wat de vertaling nog aanneemt. Het team accepteert die prijs omdat het alternatief — KERN's model rechtstreeks in de eigen rechtvaststelling laten doorwerken — een groter en minder zichtbaar risico is: een deelnemer zou dan de gevolgen dragen van een wijziging die niemand bij het Nabestaandenloket bewust heeft beoordeeld. Vertraging die je zelf beheerst is minder schadelijk dan een wijziging die je niet ziet aankomen. Dit is ook waarom deel 21 hierop voortbouwt: een published language voor domain events kent hetzelfde principe — een expliciete, beheerste vorm is de prijs waard, ook als die vorm niet het allersnelste pad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2026-08-16T19:18:38.022Z</dcterms:created>
  <dcterms:modified xsi:type="dcterms:W3CDTF">2026-08-16T19:18:38.022Z</dcterms:modified>
</cp:coreProperties>
</file>

<file path=docProps/custom.xml><?xml version="1.0" encoding="utf-8"?>
<Properties xmlns="http://schemas.openxmlformats.org/officeDocument/2006/custom-properties" xmlns:vt="http://schemas.openxmlformats.org/officeDocument/2006/docPropsVTypes"/>
</file>