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15 — EventStorming I: big picture van het hele landschap</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15 van 30 · twee dagdelen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15 is, samen met deel 19, een van de twee dagdeel-delen van niveau 2, conform het familiemodel. Het verschil met een regulier deel is niet alleen kwantitatief (meer tijd, meer stof); het is functioneel: EventStorming laat zich niet in een uitleg vatten en vervolgens toetsen — het moet ervaren worden, met een echte muur, een echte tijdlijn en echte onenigheid die zichtbaar blijft hangen. Eén dagdeel volstaat niet om zowel de sessie zelf als de verwerking ervan recht te doen.</w:t>
      </w:r>
    </w:p>
    <w:p>
      <w:pPr>
        <w:spacing w:after="140" w:line="300"/>
      </w:pPr>
      <w:r>
        <w:rPr>
          <w:rFonts w:ascii="Calibri" w:cs="Calibri" w:eastAsia="Calibri" w:hAnsi="Calibri"/>
          <w:b w:val="false"/>
          <w:bCs w:val="false"/>
          <w:i w:val="false"/>
          <w:iCs w:val="false"/>
          <w:sz w:val="22"/>
          <w:szCs w:val="22"/>
        </w:rPr>
        <w:t xml:space="preserve">Structureer je eigen uitvoering strikt in twee losstaande dagdelen, ook als je organisatorisch de ruimte hebt ze aaneengesloten te plannen: dagdeel A (voorbereiding + uitvoering) moet eindigen met een onopgeloste, "rommelige" wand — dat is een didactisch doel, geen tussenstand die je haastig alsnog wilt afronden. Dagdeel B begint pas goed als deelnemers de nacht (of op zijn minst een echte pauze) tussen de sessie en de analyse hebben gehad; direct doorschakelen van uitvoering naar analyse ondermijnt precies het punt dat reader §15.7 maakt over "in stilte kijken vóórdat je erover praat."</w:t>
      </w:r>
    </w:p>
    <w:p>
      <w:pPr>
        <w:spacing w:after="140" w:line="300"/>
      </w:pPr>
      <w:r>
        <w:rPr>
          <w:rFonts w:ascii="Calibri" w:cs="Calibri" w:eastAsia="Calibri" w:hAnsi="Calibri"/>
          <w:b w:val="false"/>
          <w:bCs w:val="false"/>
          <w:i w:val="false"/>
          <w:iCs w:val="false"/>
          <w:sz w:val="22"/>
          <w:szCs w:val="22"/>
        </w:rPr>
        <w:t xml:space="preserve">Dit deel is het eerste EventStorming-deel van de cursus. Deel 16 bouwt er direct op voort (proces- en ontwerpniveau, domain storytelling) — twee van de zes hotspots uit dit deel worden daar letterlijk hervat. Bewaar daarom de gefotografeerde of gedigitaliseerde wand van dit deel expliciet voor gebruik in deel 16.</w:t>
      </w:r>
    </w:p>
    <w:p>
      <w:pPr>
        <w:pStyle w:val="ListParagraph"/>
        <w:numPr>
          <w:ilvl w:val="0"/>
          <w:numId w:val="1"/>
        </w:numPr>
        <w:spacing w:after="80"/>
      </w:pPr>
      <w:r>
        <w:rPr>
          <w:rFonts w:ascii="Calibri" w:cs="Calibri" w:eastAsia="Calibri" w:hAnsi="Calibri"/>
          <w:sz w:val="22"/>
          <w:szCs w:val="22"/>
        </w:rPr>
        <w:t xml:space="preserve">**Module-onderdeel:** kern van het curriculumonderdeel "EventStorming op big-picture-, procesmodellerings- en ontwerpniveau" uit de iSAQB Advanced-module DDD — hier uitsluitend het big-picture-niveau.</w:t>
      </w:r>
    </w:p>
    <w:p>
      <w:pPr>
        <w:pStyle w:val="ListParagraph"/>
        <w:numPr>
          <w:ilvl w:val="0"/>
          <w:numId w:val="1"/>
        </w:numPr>
        <w:spacing w:after="80"/>
      </w:pPr>
      <w:r>
        <w:rPr>
          <w:rFonts w:ascii="Calibri" w:cs="Calibri" w:eastAsia="Calibri" w:hAnsi="Calibri"/>
          <w:sz w:val="22"/>
          <w:szCs w:val="22"/>
        </w:rPr>
        <w:t xml:space="preserve">**Werkvorm:** de big-picture-wand.</w:t>
      </w:r>
    </w:p>
    <w:p>
      <w:pPr>
        <w:pStyle w:val="ListParagraph"/>
        <w:numPr>
          <w:ilvl w:val="0"/>
          <w:numId w:val="1"/>
        </w:numPr>
        <w:spacing w:after="80"/>
      </w:pPr>
      <w:r>
        <w:rPr>
          <w:rFonts w:ascii="Calibri" w:cs="Calibri" w:eastAsia="Calibri" w:hAnsi="Calibri"/>
          <w:sz w:val="22"/>
          <w:szCs w:val="22"/>
        </w:rPr>
        <w:t xml:space="preserve">**Duur:** twee dagdelen (elk circa 3,5 uur inclusief pauze; totaal circa 7 uur, bij voorkeur verspreid over twee dagen of een dag met een lange onderbreking ertussen).</w:t>
      </w:r>
    </w:p>
    <w:p>
      <w:pPr>
        <w:pStyle w:val="ListParagraph"/>
        <w:numPr>
          <w:ilvl w:val="0"/>
          <w:numId w:val="1"/>
        </w:numPr>
        <w:spacing w:after="80"/>
      </w:pPr>
      <w:r>
        <w:rPr>
          <w:rFonts w:ascii="Calibri" w:cs="Calibri" w:eastAsia="Calibri" w:hAnsi="Calibri"/>
          <w:sz w:val="22"/>
          <w:szCs w:val="22"/>
        </w:rPr>
        <w:t xml:space="preserve">**Voorbereiding deelnemers:** deel 11 t/m 14 afgerond (kennis van de vijf systemen en de zeven context-mappingpatronen is nodig om de terugkoppeling in dagdeel B te kunnen maken).</w:t>
      </w:r>
    </w:p>
    <w:p>
      <w:pPr>
        <w:pStyle w:val="ListParagraph"/>
        <w:numPr>
          <w:ilvl w:val="0"/>
          <w:numId w:val="1"/>
        </w:numPr>
        <w:spacing w:after="80"/>
      </w:pPr>
      <w:r>
        <w:rPr>
          <w:rFonts w:ascii="Calibri" w:cs="Calibri" w:eastAsia="Calibri" w:hAnsi="Calibri"/>
          <w:sz w:val="22"/>
          <w:szCs w:val="22"/>
        </w:rPr>
        <w:t xml:space="preserve">**Ruimtelijke eis:** deze sessie vraagt een muur van minstens acht tot tien meter, of een digitaal bord met een even grote, oneindige canvas. Regel dit ruim vóór de sessie — dit is de meest voorkomende praktische valkuil bij dit deel.</w:t>
      </w:r>
    </w:p>
    <w:p>
      <w:pPr>
        <w:pStyle w:val="Heading2"/>
        <w:spacing w:after="120" w:before="200"/>
      </w:pPr>
      <w:r>
        <w:rPr>
          <w:rFonts w:ascii="Georgia" w:cs="Georgia" w:eastAsia="Georgia" w:hAnsi="Georgia"/>
          <w:b/>
          <w:bCs/>
          <w:color w:val="2C5AA0"/>
          <w:sz w:val="28"/>
          <w:szCs w:val="28"/>
        </w:rPr>
        <w:t xml:space="preserve">2. Tijdschema dagdeel 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14, Iris' onbeantwoorde vraag, aankondiging van de sessie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wat er gebeurt als je het hele landschap in één keer bekijkt (reader §15.2)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EventStorming uitgelegd: fasen, kleuren, big picture als niveau (§15.3)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rol van de facilitator (§15.4) en voorbereiding: wie, waar, welke vraag (§15.5)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de openingsvraag toetsen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chaotische exploratie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tijdlijn afdwingen (plenair, aan de wand)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hotspots markeren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de rol van de facilitator, reflectie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dagdeel A: de wand blijft hangen, geen conclusies, vooruitblik dagdeel B</w:t>
            </w:r>
          </w:p>
        </w:tc>
      </w:tr>
    </w:tbl>
    <w:p>
      <w:pPr>
        <w:pStyle w:val="Heading2"/>
        <w:spacing w:after="120" w:before="200"/>
      </w:pPr>
      <w:r>
        <w:rPr>
          <w:rFonts w:ascii="Georgia" w:cs="Georgia" w:eastAsia="Georgia" w:hAnsi="Georgia"/>
          <w:b/>
          <w:bCs/>
          <w:color w:val="2C5AA0"/>
          <w:sz w:val="28"/>
          <w:szCs w:val="28"/>
        </w:rPr>
        <w:t xml:space="preserve">3. Tijdschema dagdeel B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Stille observatie van de wand (reader §15.7) — geen gesprek, alleen kijken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van de stille observatie: wat valt op, nu je er een nacht overheen hebt laten gaan?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Pivotal events uitgelegd (§15.8)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pivotal events herkennen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 het achtste relatiegebied duiden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Hotspots geanalyseerd: de zes hotspots stuk voor stuk (§15.9)</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 — hotspots classificeren met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 — terugkoppeling aan de context map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3:00-3:15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10 — wat big-picture EventStorming niet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 — Iris' vraag herhaald, vooruitblik deel 16</w:t>
            </w:r>
          </w:p>
        </w:tc>
      </w:tr>
    </w:tbl>
    <w:p>
      <w:pPr>
        <w:spacing w:after="140" w:line="300"/>
      </w:pPr>
      <w:r>
        <w:rPr>
          <w:rFonts w:ascii="Calibri" w:cs="Calibri" w:eastAsia="Calibri" w:hAnsi="Calibri"/>
          <w:b w:val="false"/>
          <w:bCs w:val="false"/>
          <w:i w:val="false"/>
          <w:iCs w:val="false"/>
          <w:sz w:val="22"/>
          <w:szCs w:val="22"/>
        </w:rPr>
        <w:t xml:space="preserve">Loop je uit in dagdeel A, dan is opdracht 5 de eerste kandidaat om te verkorten tot een korte plenaire vraag in plaats van een tweetallenopdracht — de kern (reflectie op facilitatie) kan ook plenair in vijf minuten. Schrap nooit opdracht 3 of 4: dit zíjn de sessie, niet een oefening ernaast. Loop je uit in dagdeel B, dan kan opdracht 9 worden ingekort tot één voorbeeld in plaats van drie categorieën volledig uitwerken. Schrap nooit opdracht 7 of 9: dit is waar de opbrengst van de sessie daadwerkelijk aan de context map wordt gekoppeld, en zonder die koppeling blijft dagdeel B een losstaande reflectie zonder resultaat voor het programma.</w:t>
      </w:r>
    </w:p>
    <w:p>
      <w:pPr>
        <w:pStyle w:val="Heading2"/>
        <w:spacing w:after="120" w:before="200"/>
      </w:pPr>
      <w:r>
        <w:rPr>
          <w:rFonts w:ascii="Georgia" w:cs="Georgia" w:eastAsia="Georgia" w:hAnsi="Georgia"/>
          <w:b/>
          <w:bCs/>
          <w:color w:val="2C5AA0"/>
          <w:sz w:val="28"/>
          <w:szCs w:val="28"/>
        </w:rPr>
        <w:t xml:space="preserve">4. De opening van dagdeel A</w:t>
      </w:r>
    </w:p>
    <w:p>
      <w:pPr>
        <w:spacing w:after="140" w:line="300"/>
      </w:pPr>
      <w:r>
        <w:rPr>
          <w:rFonts w:ascii="Calibri" w:cs="Calibri" w:eastAsia="Calibri" w:hAnsi="Calibri"/>
          <w:b w:val="false"/>
          <w:bCs w:val="false"/>
          <w:i w:val="false"/>
          <w:iCs w:val="false"/>
          <w:sz w:val="22"/>
          <w:szCs w:val="22"/>
        </w:rPr>
        <w:t xml:space="preserve">Begin met Iris' onbeantwoorde vraag uit deel 14: "is de kaart compleet?" Laat de groep hardop bedenken wat er nodig zou zijn om die vraag zonder slag om de arm te kunnen beantwoorden — voordat je EventStorming introduceert. Dit zet de sessie neer als antwoord op een echte behoefte, niet als "vandaag doen we een nieuwe werkvorm."</w:t>
      </w:r>
    </w:p>
    <w:p>
      <w:pPr>
        <w:pStyle w:val="Heading2"/>
        <w:spacing w:after="120" w:before="200"/>
      </w:pPr>
      <w:r>
        <w:rPr>
          <w:rFonts w:ascii="Georgia" w:cs="Georgia" w:eastAsia="Georgia" w:hAnsi="Georgia"/>
          <w:b/>
          <w:bCs/>
          <w:color w:val="2C5AA0"/>
          <w:sz w:val="28"/>
          <w:szCs w:val="28"/>
        </w:rPr>
        <w:t xml:space="preserve">5. Didactische aanwijzingen dagdeel A</w:t>
      </w:r>
    </w:p>
    <w:p>
      <w:pPr>
        <w:spacing w:after="140" w:line="300"/>
      </w:pPr>
      <w:r>
        <w:rPr>
          <w:rFonts w:ascii="Calibri" w:cs="Calibri" w:eastAsia="Calibri" w:hAnsi="Calibri"/>
          <w:b/>
          <w:bCs/>
          <w:i w:val="false"/>
          <w:iCs w:val="false"/>
          <w:sz w:val="22"/>
          <w:szCs w:val="22"/>
        </w:rPr>
        <w:t xml:space="preserve">EventStorming uitgelegd (0:30-0:55).</w:t>
      </w:r>
      <w:r>
        <w:rPr>
          <w:rFonts w:ascii="Calibri" w:cs="Calibri" w:eastAsia="Calibri" w:hAnsi="Calibri"/>
          <w:b w:val="false"/>
          <w:bCs w:val="false"/>
          <w:i w:val="false"/>
          <w:iCs w:val="false"/>
          <w:sz w:val="22"/>
          <w:szCs w:val="22"/>
        </w:rPr>
        <w:t xml:space="preserve"> Dit is het enige moment in dit deel waar je puur uitlegt in plaats van laat ervaren — houd het daarom kort en concreet. Vermijd de verleiding om alle mogelijke varianten van EventStorming (proces- en ontwerpniveau) hier al te introduceren; die horen in deel 16. Leg uit: waarom oranje, waarom verleden tijd, waarom vier fasen in deze volgorde. Eén goede controlevraag om te checken of de groep het snapt: "Waarom zou je niet meteen beginnen met de tijdlijn ordenen?" (antwoord: dan verlies je de onafhankelijke perspectieven uit de chaotische fase — mensen passen zich onbewust aan aan wat er al hangt).</w:t>
      </w:r>
    </w:p>
    <w:p>
      <w:pPr>
        <w:spacing w:after="140" w:line="300"/>
      </w:pPr>
      <w:r>
        <w:rPr>
          <w:rFonts w:ascii="Calibri" w:cs="Calibri" w:eastAsia="Calibri" w:hAnsi="Calibri"/>
          <w:b/>
          <w:bCs/>
          <w:i w:val="false"/>
          <w:iCs w:val="false"/>
          <w:sz w:val="22"/>
          <w:szCs w:val="22"/>
        </w:rPr>
        <w:t xml:space="preserve">Voorbereiding (0:55-1:10).</w:t>
      </w:r>
      <w:r>
        <w:rPr>
          <w:rFonts w:ascii="Calibri" w:cs="Calibri" w:eastAsia="Calibri" w:hAnsi="Calibri"/>
          <w:b w:val="false"/>
          <w:bCs w:val="false"/>
          <w:i w:val="false"/>
          <w:iCs w:val="false"/>
          <w:sz w:val="22"/>
          <w:szCs w:val="22"/>
        </w:rPr>
        <w:t xml:space="preserve"> Behandel de toolvraag (Miro versus een vrij toegankelijk alternatief zoals FigJam) kort en zakelijk — dit is geen inhoudelijk zwaartepunt van het deel. Verwijs door naar de Toolbijlage voor wie meer wil weten over klikpaden. Het inhoudelijke punt dat wél tijd verdient, is Foppe's opmerking over toon: "geen foute memo's in de eerste fase" — dit bepaalt of opdracht 2 straks goed loopt.</w:t>
      </w:r>
    </w:p>
    <w:p>
      <w:pPr>
        <w:spacing w:after="140" w:line="300"/>
      </w:pPr>
      <w:r>
        <w:rPr>
          <w:rFonts w:ascii="Calibri" w:cs="Calibri" w:eastAsia="Calibri" w:hAnsi="Calibri"/>
          <w:b/>
          <w:bCs/>
          <w:i w:val="false"/>
          <w:iCs w:val="false"/>
          <w:sz w:val="22"/>
          <w:szCs w:val="22"/>
        </w:rPr>
        <w:t xml:space="preserve">Opdracht 2 (chaotische exploratie).</w:t>
      </w:r>
      <w:r>
        <w:rPr>
          <w:rFonts w:ascii="Calibri" w:cs="Calibri" w:eastAsia="Calibri" w:hAnsi="Calibri"/>
          <w:b w:val="false"/>
          <w:bCs w:val="false"/>
          <w:i w:val="false"/>
          <w:iCs w:val="false"/>
          <w:sz w:val="22"/>
          <w:szCs w:val="22"/>
        </w:rPr>
        <w:t xml:space="preserve"> Dit is de belangrijkste opdracht van het hele deel om goed te faciliteren. Loop zelf niet rond om te "helpen" — juist stilte en afwezigheid van sturing is hier het punt. Grijp alleen in als iemand hardop begint te overleggen met een buurman; herinner dan kort aan "schrijf nu, overleg straks" zonder verder commentaar.</w:t>
      </w:r>
    </w:p>
    <w:p>
      <w:pPr>
        <w:spacing w:after="140" w:line="300"/>
      </w:pPr>
      <w:r>
        <w:rPr>
          <w:rFonts w:ascii="Calibri" w:cs="Calibri" w:eastAsia="Calibri" w:hAnsi="Calibri"/>
          <w:b/>
          <w:bCs/>
          <w:i w:val="false"/>
          <w:iCs w:val="false"/>
          <w:sz w:val="22"/>
          <w:szCs w:val="22"/>
        </w:rPr>
        <w:t xml:space="preserve">Opdracht 3 (tijdlijn afdwingen).</w:t>
      </w:r>
      <w:r>
        <w:rPr>
          <w:rFonts w:ascii="Calibri" w:cs="Calibri" w:eastAsia="Calibri" w:hAnsi="Calibri"/>
          <w:b w:val="false"/>
          <w:bCs w:val="false"/>
          <w:i w:val="false"/>
          <w:iCs w:val="false"/>
          <w:sz w:val="22"/>
          <w:szCs w:val="22"/>
        </w:rPr>
        <w:t xml:space="preserve"> Verwacht, net als in de casus, echte onenigheid — dit is geen storing maar het lesdoel. Als de groep een tegenstrijdigheid te snel "oplost" door er stilzwijgend één versie uit te kiezen, grijp dan in en vraag: "Hebben jullie dit nu opgelost, of alleen de discussie vermeden?" Laat, indien nodig, beide versies expliciet naast elkaar hangen totdat opdracht 4 ze als hotspot markeert.</w:t>
      </w:r>
    </w:p>
    <w:p>
      <w:pPr>
        <w:spacing w:after="140" w:line="300"/>
      </w:pPr>
      <w:r>
        <w:rPr>
          <w:rFonts w:ascii="Calibri" w:cs="Calibri" w:eastAsia="Calibri" w:hAnsi="Calibri"/>
          <w:b/>
          <w:bCs/>
          <w:i w:val="false"/>
          <w:iCs w:val="false"/>
          <w:sz w:val="22"/>
          <w:szCs w:val="22"/>
        </w:rPr>
        <w:t xml:space="preserve">Opdracht 4 (hotspots).</w:t>
      </w:r>
      <w:r>
        <w:rPr>
          <w:rFonts w:ascii="Calibri" w:cs="Calibri" w:eastAsia="Calibri" w:hAnsi="Calibri"/>
          <w:b w:val="false"/>
          <w:bCs w:val="false"/>
          <w:i w:val="false"/>
          <w:iCs w:val="false"/>
          <w:sz w:val="22"/>
          <w:szCs w:val="22"/>
        </w:rPr>
        <w:t xml:space="preserve"> Let erop dat groepen niet meteen naar oplossingen springen zodra ze een hotspot benoemen. Een hotspot markeren is het doel van deze opdracht — niet hem oplossen. Als een groep tóch een hotspot ter plekke wil "wegwerken", verwijs dan naar het vijfde veld dat pas in dagdeel B aan bod komt: "Bewaar die energie, we gaan er morgen mee verder."</w:t>
      </w:r>
    </w:p>
    <w:p>
      <w:pPr>
        <w:spacing w:after="140" w:line="300"/>
      </w:pPr>
      <w:r>
        <w:rPr>
          <w:rFonts w:ascii="Calibri" w:cs="Calibri" w:eastAsia="Calibri" w:hAnsi="Calibri"/>
          <w:b/>
          <w:bCs/>
          <w:i w:val="false"/>
          <w:iCs w:val="false"/>
          <w:sz w:val="22"/>
          <w:szCs w:val="22"/>
        </w:rPr>
        <w:t xml:space="preserve">Afsluiting dagdeel A.</w:t>
      </w:r>
      <w:r>
        <w:rPr>
          <w:rFonts w:ascii="Calibri" w:cs="Calibri" w:eastAsia="Calibri" w:hAnsi="Calibri"/>
          <w:b w:val="false"/>
          <w:bCs w:val="false"/>
          <w:i w:val="false"/>
          <w:iCs w:val="false"/>
          <w:sz w:val="22"/>
          <w:szCs w:val="22"/>
        </w:rPr>
        <w:t xml:space="preserve"> Sluit uitdrukkelijk af zonder samenvatting of conclusie — dat is in tegenspraak met het lesdoel. Herhaal Foppe's zin letterlijk of in eigen woorden: "Jullie hebben vandaag niets besloten. Jullie hebben voor het eerst gezien wat er allemaal nog niet besloten is." Laat de wand fysiek hangen (of het digitale bord open) tot dagdeel B; fotografeer hem als back-up voordat je de ruimte verlaat.</w:t>
      </w:r>
    </w:p>
    <w:p>
      <w:pPr>
        <w:pStyle w:val="Heading2"/>
        <w:spacing w:after="120" w:before="200"/>
      </w:pPr>
      <w:r>
        <w:rPr>
          <w:rFonts w:ascii="Georgia" w:cs="Georgia" w:eastAsia="Georgia" w:hAnsi="Georgia"/>
          <w:b/>
          <w:bCs/>
          <w:color w:val="2C5AA0"/>
          <w:sz w:val="28"/>
          <w:szCs w:val="28"/>
        </w:rPr>
        <w:t xml:space="preserve">6. Didactische aanwijzingen dagdeel B</w:t>
      </w:r>
    </w:p>
    <w:p>
      <w:pPr>
        <w:spacing w:after="140" w:line="300"/>
      </w:pPr>
      <w:r>
        <w:rPr>
          <w:rFonts w:ascii="Calibri" w:cs="Calibri" w:eastAsia="Calibri" w:hAnsi="Calibri"/>
          <w:b/>
          <w:bCs/>
          <w:i w:val="false"/>
          <w:iCs w:val="false"/>
          <w:sz w:val="22"/>
          <w:szCs w:val="22"/>
        </w:rPr>
        <w:t xml:space="preserve">Stille observatie (0:00-0:10).</w:t>
      </w:r>
      <w:r>
        <w:rPr>
          <w:rFonts w:ascii="Calibri" w:cs="Calibri" w:eastAsia="Calibri" w:hAnsi="Calibri"/>
          <w:b w:val="false"/>
          <w:bCs w:val="false"/>
          <w:i w:val="false"/>
          <w:iCs w:val="false"/>
          <w:sz w:val="22"/>
          <w:szCs w:val="22"/>
        </w:rPr>
        <w:t xml:space="preserve"> Handhaaf deze stilte strikt, ook als deelnemers de neiging hebben meteen te reageren op wat ze zien. Het punt is een spiegeling van de stille chaotische fase uit dagdeel A — laat deelnemers dat verband zelf ontdekken in de nabespreking, leg het niet voor.</w:t>
      </w:r>
    </w:p>
    <w:p>
      <w:pPr>
        <w:spacing w:after="140" w:line="300"/>
      </w:pPr>
      <w:r>
        <w:rPr>
          <w:rFonts w:ascii="Calibri" w:cs="Calibri" w:eastAsia="Calibri" w:hAnsi="Calibri"/>
          <w:b/>
          <w:bCs/>
          <w:i w:val="false"/>
          <w:iCs w:val="false"/>
          <w:sz w:val="22"/>
          <w:szCs w:val="22"/>
        </w:rPr>
        <w:t xml:space="preserve">Pivotal events (0:25-0:45).</w:t>
      </w:r>
      <w:r>
        <w:rPr>
          <w:rFonts w:ascii="Calibri" w:cs="Calibri" w:eastAsia="Calibri" w:hAnsi="Calibri"/>
          <w:b w:val="false"/>
          <w:bCs w:val="false"/>
          <w:i w:val="false"/>
          <w:iCs w:val="false"/>
          <w:sz w:val="22"/>
          <w:szCs w:val="22"/>
        </w:rPr>
        <w:t xml:space="preserve"> Het kernbegrip hier is "wisseling van eigenaarschap", niet "belangrijke gebeurtenis" in algemene zin — een gebeurtenis kan spectaculair zijn zonder pivotal te zijn, en omgekeerd. Gebruik dossierstuk 15-C als controlemateriaal, maar laat de groep eerst zelf pivotal events op de eigen wand aanwijzen vóór je het dossierstuk erbij haalt.</w:t>
      </w:r>
    </w:p>
    <w:p>
      <w:pPr>
        <w:spacing w:after="140" w:line="300"/>
      </w:pPr>
      <w:r>
        <w:rPr>
          <w:rFonts w:ascii="Calibri" w:cs="Calibri" w:eastAsia="Calibri" w:hAnsi="Calibri"/>
          <w:b/>
          <w:bCs/>
          <w:i w:val="false"/>
          <w:iCs w:val="false"/>
          <w:sz w:val="22"/>
          <w:szCs w:val="22"/>
        </w:rPr>
        <w:t xml:space="preserve">Opdracht 7 (het achtste relatiegebied).</w:t>
      </w:r>
      <w:r>
        <w:rPr>
          <w:rFonts w:ascii="Calibri" w:cs="Calibri" w:eastAsia="Calibri" w:hAnsi="Calibri"/>
          <w:b w:val="false"/>
          <w:bCs w:val="false"/>
          <w:i w:val="false"/>
          <w:iCs w:val="false"/>
          <w:sz w:val="22"/>
          <w:szCs w:val="22"/>
        </w:rPr>
        <w:t xml:space="preserve"> Dit is de opdracht waar de grootste inhoudelijke winst van dagdeel B zit — de vondst dat de context map van deel 13-14 niet compleet was, nu concreet gemaakt. Loop rond en let erop dat groepen niet te snel naar een definitief patroon springen; het punt van deze opdracht is een beargumenteerde eerste inschatting mét een expliciete "wat we nog niet weten", niet een afgerond grensbeschermingsblad. Dat komt pas in een later moment in het programma, buiten deze cursus.</w:t>
      </w:r>
    </w:p>
    <w:p>
      <w:pPr>
        <w:spacing w:after="140" w:line="300"/>
      </w:pPr>
      <w:r>
        <w:rPr>
          <w:rFonts w:ascii="Calibri" w:cs="Calibri" w:eastAsia="Calibri" w:hAnsi="Calibri"/>
          <w:b/>
          <w:bCs/>
          <w:i w:val="false"/>
          <w:iCs w:val="false"/>
          <w:sz w:val="22"/>
          <w:szCs w:val="22"/>
        </w:rPr>
        <w:t xml:space="preserve">Hotspots geanalyseerd + opdracht 8.</w:t>
      </w:r>
      <w:r>
        <w:rPr>
          <w:rFonts w:ascii="Calibri" w:cs="Calibri" w:eastAsia="Calibri" w:hAnsi="Calibri"/>
          <w:b w:val="false"/>
          <w:bCs w:val="false"/>
          <w:i w:val="false"/>
          <w:iCs w:val="false"/>
          <w:sz w:val="22"/>
          <w:szCs w:val="22"/>
        </w:rPr>
        <w:t xml:space="preserve"> Loop de zes hotspots één voor één na met de groep vóór je opdracht 8 laat starten — het onderscheid tussen "verder onderzoek", "besluit" en "aanpassing van een bestaande grens" is voor de meeste deelnemers nieuw en verdient een gezamenlijk doorlopen voorbeeld (gebruik de deeltijdwijziging-hotspot) voordat groepen het zelfstandig op de overige vijf toepassen.</w:t>
      </w:r>
    </w:p>
    <w:p>
      <w:pPr>
        <w:spacing w:after="140" w:line="300"/>
      </w:pPr>
      <w:r>
        <w:rPr>
          <w:rFonts w:ascii="Calibri" w:cs="Calibri" w:eastAsia="Calibri" w:hAnsi="Calibri"/>
          <w:b/>
          <w:bCs/>
          <w:i w:val="false"/>
          <w:iCs w:val="false"/>
          <w:sz w:val="22"/>
          <w:szCs w:val="22"/>
        </w:rPr>
        <w:t xml:space="preserve">Opdracht 9 (terugkoppeling aan de context map).</w:t>
      </w:r>
      <w:r>
        <w:rPr>
          <w:rFonts w:ascii="Calibri" w:cs="Calibri" w:eastAsia="Calibri" w:hAnsi="Calibri"/>
          <w:b w:val="false"/>
          <w:bCs w:val="false"/>
          <w:i w:val="false"/>
          <w:iCs w:val="false"/>
          <w:sz w:val="22"/>
          <w:szCs w:val="22"/>
        </w:rPr>
        <w:t xml:space="preserve"> Zorg dat de zeven relatiebladen van deel 13-14 fysiek of digitaal beschikbaar zijn tijdens deze opdracht — zonder dat materiaal kan de groep de drie categorieën (bevestigd/wankel/ontbrekend) niet met iets concreets vergelijken.</w:t>
      </w:r>
    </w:p>
    <w:p>
      <w:pPr>
        <w:spacing w:after="140" w:line="300"/>
      </w:pPr>
      <w:r>
        <w:rPr>
          <w:rFonts w:ascii="Calibri" w:cs="Calibri" w:eastAsia="Calibri" w:hAnsi="Calibri"/>
          <w:b/>
          <w:bCs/>
          <w:i w:val="false"/>
          <w:iCs w:val="false"/>
          <w:sz w:val="22"/>
          <w:szCs w:val="22"/>
        </w:rPr>
        <w:t xml:space="preserve">Opdracht 10.</w:t>
      </w:r>
      <w:r>
        <w:rPr>
          <w:rFonts w:ascii="Calibri" w:cs="Calibri" w:eastAsia="Calibri" w:hAnsi="Calibri"/>
          <w:b w:val="false"/>
          <w:bCs w:val="false"/>
          <w:i w:val="false"/>
          <w:iCs w:val="false"/>
          <w:sz w:val="22"/>
          <w:szCs w:val="22"/>
        </w:rPr>
        <w:t xml:space="preserve"> Dit is het moment om de grens van het instrument zelf te markeren: big-picture EventStorming is niet bedoeld om elk probleem tot op de bodem uit te werken. Deelnemers die deel 16 nog niet kennen, hebben hier soms de neiging te willen "doorpakken" op de deeltijdwijziging-hotspot; leg uit dat dat precies is waarvoor deel 16 bestaat, zonder de inhoud van dat deel al prijs te geven.</w:t>
      </w:r>
    </w:p>
    <w:p>
      <w:pPr>
        <w:spacing w:after="140" w:line="300"/>
      </w:pPr>
      <w:r>
        <w:rPr>
          <w:rFonts w:ascii="Calibri" w:cs="Calibri" w:eastAsia="Calibri" w:hAnsi="Calibri"/>
          <w:b/>
          <w:bCs/>
          <w:i w:val="false"/>
          <w:iCs w:val="false"/>
          <w:sz w:val="22"/>
          <w:szCs w:val="22"/>
        </w:rPr>
        <w:t xml:space="preserve">Opdracht 11.</w:t>
      </w:r>
      <w:r>
        <w:rPr>
          <w:rFonts w:ascii="Calibri" w:cs="Calibri" w:eastAsia="Calibri" w:hAnsi="Calibri"/>
          <w:b w:val="false"/>
          <w:bCs w:val="false"/>
          <w:i w:val="false"/>
          <w:iCs w:val="false"/>
          <w:sz w:val="22"/>
          <w:szCs w:val="22"/>
        </w:rPr>
        <w:t xml:space="preserve"> Sluit hiermee het deel af. Laat de vergelijking tussen de twee versies van Daans antwoord door de groep zelf formuleren voordat je uitwerking 11 erbij haalt — het inzicht "benoembare onwetendheid is bruikbaarder dan vermoede onwetendheid" landt sterker als de groep het zelf verwoordt.</w:t>
      </w:r>
    </w:p>
    <w:p>
      <w:pPr>
        <w:pStyle w:val="Heading2"/>
        <w:spacing w:after="120" w:before="200"/>
      </w:pPr>
      <w:r>
        <w:rPr>
          <w:rFonts w:ascii="Georgia" w:cs="Georgia" w:eastAsia="Georgia" w:hAnsi="Georgia"/>
          <w:b/>
          <w:bCs/>
          <w:color w:val="2C5AA0"/>
          <w:sz w:val="28"/>
          <w:szCs w:val="28"/>
        </w:rPr>
        <w:t xml:space="preserve">7.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begint tijdens de chaotische fase al te overleggen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Onzekerheid over "juiste" antwoorden, reflex om samen te werken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kort: "schrijf nu, overleg straks" — grijp niet inhoudelijk in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tegenstrijdigheid wordt stilzwijgend opgelost door één versie te kiezen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Ongemak met onopgeloste onenigheid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"hebben jullie dit opgelost, of de discussie vermeden?"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hotspot wordt ter plekke "opgelost" in plaats van gemarkeerd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elk probleem meteen te willen sluiten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het vijfde veld en dagdeel B; markeer, ga verder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Eén deelnemer domineert de tijdlijndiscussie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Ongelijke gewoonte om ruimte in te nemen (zoals Otto vs. Priya)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expliciet een stillere deelnemer om zijn of haar perspectief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Pivotal event verward met "een event dat belangrijk klinkt"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Onvoldoende scherp begrip van "wisseling van eigenaarschap"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was verantwoordelijk vóór dit event, en wie erna? Verschilt dat?"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levert een definitief patroon zonder onzekerheid te benoemen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een opdracht "af te maken" in plaats van een open vraag open te laten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zou je nog moeten weten om hier zeker van te zijn?"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Big-picture-sessie eindigt met een gevoel van "nu weten we niets meer dan voorheen"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onderscheid tussen "vragen oplossen" en "de juiste vragen zichtbaar maken" is niet geland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Foppe's slotzin in §15.10 en laat de groep opdracht 11 hardop bespreken</w:t>
            </w:r>
          </w:p>
        </w:tc>
      </w:tr>
    </w:tbl>
    <w:p>
      <w:pPr>
        <w:pStyle w:val="Heading2"/>
        <w:spacing w:after="120" w:before="200"/>
      </w:pPr>
      <w:r>
        <w:rPr>
          <w:rFonts w:ascii="Georgia" w:cs="Georgia" w:eastAsia="Georgia" w:hAnsi="Georgia"/>
          <w:b/>
          <w:bCs/>
          <w:color w:val="2C5AA0"/>
          <w:sz w:val="28"/>
          <w:szCs w:val="28"/>
        </w:rPr>
        <w:t xml:space="preserve">8. Beoordeling</w:t>
      </w:r>
    </w:p>
    <w:p>
      <w:pPr>
        <w:spacing w:after="140" w:line="300"/>
      </w:pPr>
      <w:r>
        <w:rPr>
          <w:rFonts w:ascii="Calibri" w:cs="Calibri" w:eastAsia="Calibri" w:hAnsi="Calibri"/>
          <w:b w:val="false"/>
          <w:bCs w:val="false"/>
          <w:i w:val="false"/>
          <w:iCs w:val="false"/>
          <w:sz w:val="22"/>
          <w:szCs w:val="22"/>
        </w:rPr>
        <w:t xml:space="preserve">Deel 15 wordt niet becijferd. Houd voor dagdeel A bij of elke groep zelfstandig, zonder ingrijpen van de docent, tot een tijdlijn met minstens vier hotspots komt. Houd voor dagdeel B bij of opdracht 7 (het achtste relatiegebied) en opdracht 8 (classificatie met het vijfde veld) aan twee eisen voldoen: de vervolgstap is concreet benoemd (niet "hier moeten we nog naar kijken", maar wie, en wat voor soort actie), en minstens één bevinding is expliciet teruggekoppeld aan een bestaande relatie uit deel 13-14. Noteer per groep: voldoet / voldoet met hulp / voldoet niet.</w:t>
      </w:r>
    </w:p>
    <w:p>
      <w:pPr>
        <w:pStyle w:val="Heading2"/>
        <w:spacing w:after="120" w:before="200"/>
      </w:pPr>
      <w:r>
        <w:rPr>
          <w:rFonts w:ascii="Georgia" w:cs="Georgia" w:eastAsia="Georgia" w:hAnsi="Georgia"/>
          <w:b/>
          <w:bCs/>
          <w:color w:val="2C5AA0"/>
          <w:sz w:val="28"/>
          <w:szCs w:val="28"/>
        </w:rPr>
        <w:t xml:space="preserve">9. Materiaal</w:t>
      </w:r>
    </w:p>
    <w:p>
      <w:pPr>
        <w:pStyle w:val="ListParagraph"/>
        <w:numPr>
          <w:ilvl w:val="0"/>
          <w:numId w:val="1"/>
        </w:numPr>
        <w:spacing w:after="80"/>
      </w:pPr>
      <w:r>
        <w:rPr>
          <w:rFonts w:ascii="Calibri" w:cs="Calibri" w:eastAsia="Calibri" w:hAnsi="Calibri"/>
          <w:sz w:val="22"/>
          <w:szCs w:val="22"/>
        </w:rPr>
        <w:t xml:space="preserve">Casusdossier niveau 2 (§2, §5 voor het landschap en de zeven relaties)</w:t>
      </w:r>
    </w:p>
    <w:p>
      <w:pPr>
        <w:pStyle w:val="ListParagraph"/>
        <w:numPr>
          <w:ilvl w:val="0"/>
          <w:numId w:val="1"/>
        </w:numPr>
        <w:spacing w:after="80"/>
      </w:pPr>
      <w:r>
        <w:rPr>
          <w:rFonts w:ascii="Calibri" w:cs="Calibri" w:eastAsia="Calibri" w:hAnsi="Calibri"/>
          <w:sz w:val="22"/>
          <w:szCs w:val="22"/>
        </w:rPr>
        <w:t xml:space="preserve">Uitwerkingen of eigen resultaten van deel 13 en 14, fysiek of digitaal beschikbaar tijdens dagdeel B</w:t>
      </w:r>
    </w:p>
    <w:p>
      <w:pPr>
        <w:pStyle w:val="ListParagraph"/>
        <w:numPr>
          <w:ilvl w:val="0"/>
          <w:numId w:val="1"/>
        </w:numPr>
        <w:spacing w:after="80"/>
      </w:pPr>
      <w:r>
        <w:rPr>
          <w:rFonts w:ascii="Calibri" w:cs="Calibri" w:eastAsia="Calibri" w:hAnsi="Calibri"/>
          <w:sz w:val="22"/>
          <w:szCs w:val="22"/>
        </w:rPr>
        <w:t xml:space="preserve">Werkboek deel 15, inclusief dossierstukken 15-A, 15-B en 15-C</w:t>
      </w:r>
    </w:p>
    <w:p>
      <w:pPr>
        <w:pStyle w:val="ListParagraph"/>
        <w:numPr>
          <w:ilvl w:val="0"/>
          <w:numId w:val="1"/>
        </w:numPr>
        <w:spacing w:after="80"/>
      </w:pPr>
      <w:r>
        <w:rPr>
          <w:rFonts w:ascii="Calibri" w:cs="Calibri" w:eastAsia="Calibri" w:hAnsi="Calibri"/>
          <w:sz w:val="22"/>
          <w:szCs w:val="22"/>
        </w:rPr>
        <w:t xml:space="preserve">Slidedeck deel 15</w:t>
      </w:r>
    </w:p>
    <w:p>
      <w:pPr>
        <w:pStyle w:val="ListParagraph"/>
        <w:numPr>
          <w:ilvl w:val="0"/>
          <w:numId w:val="1"/>
        </w:numPr>
        <w:spacing w:after="80"/>
      </w:pPr>
      <w:r>
        <w:rPr>
          <w:rFonts w:ascii="Calibri" w:cs="Calibri" w:eastAsia="Calibri" w:hAnsi="Calibri"/>
          <w:sz w:val="22"/>
          <w:szCs w:val="22"/>
        </w:rPr>
        <w:t xml:space="preserve">Een muur van minstens acht tot tien meter (fysiek) of een digitaal bord met oneindige canvas (Miro, FigJam of vergelijkbaar), plus voldoende memo's/plaknotities in minstens vier kleuren (events, actoren/externe systemen, hotspots, pivotal events)</w:t>
      </w:r>
    </w:p>
    <w:p>
      <w:pPr>
        <w:pStyle w:val="ListParagraph"/>
        <w:numPr>
          <w:ilvl w:val="0"/>
          <w:numId w:val="1"/>
        </w:numPr>
        <w:spacing w:after="80"/>
      </w:pPr>
      <w:r>
        <w:rPr>
          <w:rFonts w:ascii="Calibri" w:cs="Calibri" w:eastAsia="Calibri" w:hAnsi="Calibri"/>
          <w:sz w:val="22"/>
          <w:szCs w:val="22"/>
        </w:rPr>
        <w:t xml:space="preserve">Camera of schermopname om de wand aan het eind van dagdeel A en dagdeel B vast te leggen voor het programma-archief en voor gebruik in deel 16</w:t>
      </w:r>
    </w:p>
    <w:p>
      <w:pPr>
        <w:pStyle w:val="Heading2"/>
        <w:spacing w:after="120" w:before="200"/>
      </w:pPr>
      <w:r>
        <w:rPr>
          <w:rFonts w:ascii="Georgia" w:cs="Georgia" w:eastAsia="Georgia" w:hAnsi="Georgia"/>
          <w:b/>
          <w:bCs/>
          <w:color w:val="2C5AA0"/>
          <w:sz w:val="28"/>
          <w:szCs w:val="28"/>
        </w:rPr>
        <w:t xml:space="preserve">10. Aantekeningen voor de docent over de examenlijn en positionering</w:t>
      </w:r>
    </w:p>
    <w:p>
      <w:pPr>
        <w:pStyle w:val="ListParagraph"/>
        <w:numPr>
          <w:ilvl w:val="0"/>
          <w:numId w:val="1"/>
        </w:numPr>
        <w:spacing w:after="80"/>
      </w:pPr>
      <w:r>
        <w:rPr>
          <w:rFonts w:ascii="Calibri" w:cs="Calibri" w:eastAsia="Calibri" w:hAnsi="Calibri"/>
          <w:sz w:val="22"/>
          <w:szCs w:val="22"/>
        </w:rPr>
        <w:t xml:space="preserve">De iSAQB Advanced-module DDD noemt EventStorming op alle drie de niveaus (big picture, procesmodellering, ontwerp) als onderdeel van het curriculum, zonder de facilitatietechniek zelf voor te schrijven. De indeling van dit deel — vier fasen, hotspots als opbrengst in plaats van ruis, pivotal events als brug naar bounded contexts — is een eigen, Ductus-gemotiveerde uitwerking van Brandolini's methode, geen letterlijke facilitatiehandleiding.</w:t>
      </w:r>
    </w:p>
    <w:p>
      <w:pPr>
        <w:pStyle w:val="ListParagraph"/>
        <w:numPr>
          <w:ilvl w:val="0"/>
          <w:numId w:val="1"/>
        </w:numPr>
        <w:spacing w:after="80"/>
      </w:pPr>
      <w:r>
        <w:rPr>
          <w:rFonts w:ascii="Calibri" w:cs="Calibri" w:eastAsia="Calibri" w:hAnsi="Calibri"/>
          <w:sz w:val="22"/>
          <w:szCs w:val="22"/>
        </w:rPr>
        <w:t xml:space="preserve">Dit deel introduceert Miro als referentietool, met een expliciet genoemd vrij toegankelijk alternatief (FigJam of vergelijkbaar). Beide worden uitsluitend toolneutraal behandeld — het gaat om een oneindige canvas en gedeelde cursors als functionele eisen, niet om een productdemonstratie. Verdere klikpaden en versiegebonden verwijzingen horen in de Toolbijlage, niet in dit deel.</w:t>
      </w:r>
    </w:p>
    <w:p>
      <w:pPr>
        <w:pStyle w:val="ListParagraph"/>
        <w:numPr>
          <w:ilvl w:val="0"/>
          <w:numId w:val="1"/>
        </w:numPr>
        <w:spacing w:after="80"/>
      </w:pPr>
      <w:r>
        <w:rPr>
          <w:rFonts w:ascii="Calibri" w:cs="Calibri" w:eastAsia="Calibri" w:hAnsi="Calibri"/>
          <w:sz w:val="22"/>
          <w:szCs w:val="22"/>
        </w:rPr>
        <w:t xml:space="preserve">Voor deelnemers die alleen niveau 2 volgen: de verwijzingen naar Foppe's rol uit eerdere delen (§14, "ik ken jullie domein niet") zijn in dit deel opnieuw kort geïntroduceerd (§15.4) en vereisen geen kennis van eerdere delen om te begrijpen.</w:t>
      </w:r>
    </w:p>
    <w:p>
      <w:pPr>
        <w:pStyle w:val="ListParagraph"/>
        <w:numPr>
          <w:ilvl w:val="0"/>
          <w:numId w:val="1"/>
        </w:numPr>
        <w:spacing w:after="80"/>
      </w:pPr>
      <w:r>
        <w:rPr>
          <w:rFonts w:ascii="Calibri" w:cs="Calibri" w:eastAsia="Calibri" w:hAnsi="Calibri"/>
          <w:sz w:val="22"/>
          <w:szCs w:val="22"/>
        </w:rPr>
        <w:t xml:space="preserve">Bewaar de wand (foto's of digitale export) tot en met deel 16 — dat deel hervat de deeltijdwijziging- en scheidingsketen-hotspots letterlijk als startpunt voor procesmodellering en domain storytelling.</w:t>
      </w:r>
    </w:p>
    <w:p>
      <w:pPr>
        <w:pStyle w:val="ListParagraph"/>
        <w:numPr>
          <w:ilvl w:val="0"/>
          <w:numId w:val="1"/>
        </w:numPr>
        <w:spacing w:after="80"/>
      </w:pPr>
      <w:r>
        <w:rPr>
          <w:rFonts w:ascii="Calibri" w:cs="Calibri" w:eastAsia="Calibri" w:hAnsi="Calibri"/>
          <w:sz w:val="22"/>
          <w:szCs w:val="22"/>
        </w:rPr>
        <w:t xml:space="preserve">Dit deel sluit het big-picture-niveau van EventStorming af. Kondig aan het eind van dagdeel B expliciet aan dat deel 16 verdergaat op twee specifieke niveaus (proces, ontwerp) en een nieuw instrument introduceert (domain storytelling) — zodat deelnemers begrijpen dat wat vandaag "breed" bleef, volgende keer "diep" wordt op precies de plekken die vandaag zijn blootgelegd.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2026-08-16T19:18:40.564Z</dcterms:created>
  <dcterms:modified xsi:type="dcterms:W3CDTF">2026-08-16T19:18:40.564Z</dcterms:modified>
</cp:coreProperties>
</file>

<file path=docProps/custom.xml><?xml version="1.0" encoding="utf-8"?>
<Properties xmlns="http://schemas.openxmlformats.org/officeDocument/2006/custom-properties" xmlns:vt="http://schemas.openxmlformats.org/officeDocument/2006/docPropsVTypes"/>
</file>