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15 — EventStorming I: big picture van het hele landschap</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15 van 30 · twee dagdelen</w:t>
      </w:r>
    </w:p>
    <w:p>
      <w:pPr>
        <w:spacing w:after="140" w:line="300"/>
      </w:pPr>
      <w:r>
        <w:rPr>
          <w:rFonts w:ascii="Calibri" w:cs="Calibri" w:eastAsia="Calibri" w:hAnsi="Calibri"/>
          <w:b w:val="false"/>
          <w:bCs w:val="false"/>
          <w:i w:val="false"/>
          <w:iCs w:val="false"/>
          <w:sz w:val="22"/>
          <w:szCs w:val="22"/>
        </w:rPr>
        <w:t xml:space="preserve">Elf opdrachten, verdeeld over twee dagdelen. Dagdeel A (opdrachten 1 t/m 5) draait om de sessie zelf: voorbereiden en uitvoeren, grotendeels plenair en in de volle groep aan de wand. Dagdeel B (opdrachten 6 t/m 11) draait om verwerking en analyse, overwegend in groepjes van vier tot vijf.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15-A — De openingsvraag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"Alles wat er gebeurt vanaf het moment dat een mutatie ergens in het landschap ontstaat, tot het moment dat die mutatie overal is doorgevoerd waar hij hoort te landen."</w:t>
            </w:r>
          </w:p>
          <w:p>
            <w:pPr>
              <w:spacing w:after="100" w:line="280"/>
            </w:pPr>
            <w:r>
              <w:rPr>
                <w:rFonts w:ascii="Calibri" w:cs="Calibri" w:eastAsia="Calibri" w:hAnsi="Calibri"/>
                <w:i/>
                <w:iCs/>
                <w:sz w:val="22"/>
                <w:szCs w:val="22"/>
              </w:rPr>
              <w:t xml:space="preserve">— de reikwijdte waarmee Foppe en Daan de big-picture-sessie openen (reader §15.5)</w:t>
            </w:r>
          </w:p>
        </w:tc>
      </w:tr>
    </w:tbl>
    <w:p>
      <w:pPr>
        <w:pStyle w:val="Heading2"/>
        <w:spacing w:after="120" w:before="200"/>
      </w:pPr>
      <w:r>
        <w:rPr>
          <w:rFonts w:ascii="Georgia" w:cs="Georgia" w:eastAsia="Georgia" w:hAnsi="Georgia"/>
          <w:b/>
          <w:bCs/>
          <w:color w:val="2C5AA0"/>
          <w:sz w:val="28"/>
          <w:szCs w:val="28"/>
        </w:rPr>
        <w:t xml:space="preserve">Dossierstuk 15-B — De wand aan het eind van dagdeel A (samenvatting)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Aantal / inhoud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events na chaotische exploratie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circa 120, ongesorteerd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events na tijdlijnfase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circa 70, gedupliceerd en samengevoegd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Actoren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werkgever, nabestaande, medewerker Nabestaandenzaken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Externe systemen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externe administrateur (overlijdensmeldingen), een bron voor scheidingssignalen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Hotspots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deeltijdwijziging: één gebeurtenis of twee (Vera vs. Karsten) · 2. aankomstroute externe overlijdensmelding onbekend · 3. twee definities van "actieve deelnemer" (KERN vs. Wegwijzer) · 4. event "mutatie geprioriteerd" bestaat nergens echt (Otto) · 5. scheidingsketen: volgorde wisselt per meldroute · 6. (ontdekt in dagdeel B) onbenoemd pivotal event rond scheidingsafhandeling</w:t>
            </w:r>
          </w:p>
        </w:tc>
      </w:tr>
    </w:tbl>
    <w:p>
      <w:pPr>
        <w:pStyle w:val="Heading2"/>
        <w:spacing w:after="120" w:before="200"/>
      </w:pPr>
      <w:r>
        <w:rPr>
          <w:rFonts w:ascii="Georgia" w:cs="Georgia" w:eastAsia="Georgia" w:hAnsi="Georgia"/>
          <w:b/>
          <w:bCs/>
          <w:color w:val="2C5AA0"/>
          <w:sz w:val="28"/>
          <w:szCs w:val="28"/>
        </w:rPr>
        <w:t xml:space="preserve">Dossierstuk 15-C — Vier kandidaat-pivotal events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Pivotal event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Overgang van → naar</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Valt op bestaande relatie?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Uitdiensttreding gemeld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 partnership (deel 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 doorgezet naar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 shared kernel (deel 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Recht op partnerpensioen vastgesteld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 customer/supplier (deel 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Gevolgen scheiding voor pensioenaanspraken berekend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KERN/Mutatieplatform, onduidelijk wie leidt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 geen van de zeven relaties</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A — Voorbereiding en uitvoering</w:t>
      </w:r>
    </w:p>
    <w:p>
      <w:pPr>
        <w:pStyle w:val="Heading2"/>
        <w:spacing w:after="120" w:before="200"/>
      </w:pPr>
      <w:r>
        <w:rPr>
          <w:rFonts w:ascii="Georgia" w:cs="Georgia" w:eastAsia="Georgia" w:hAnsi="Georgia"/>
          <w:b/>
          <w:bCs/>
          <w:color w:val="2C5AA0"/>
          <w:sz w:val="28"/>
          <w:szCs w:val="28"/>
        </w:rPr>
        <w:t xml:space="preserve">Opdracht 1 — De openingsvraag toetsen (15 min, plenair)</w:t>
      </w:r>
    </w:p>
    <w:p>
      <w:pPr>
        <w:spacing w:after="140" w:line="300"/>
      </w:pPr>
      <w:r>
        <w:rPr>
          <w:rFonts w:ascii="Calibri" w:cs="Calibri" w:eastAsia="Calibri" w:hAnsi="Calibri"/>
          <w:b w:val="false"/>
          <w:bCs w:val="false"/>
          <w:i w:val="false"/>
          <w:iCs w:val="false"/>
          <w:sz w:val="22"/>
          <w:szCs w:val="22"/>
        </w:rPr>
        <w:t xml:space="preserve">Bekijk dossierstuk 15-A. Bedenk één concrete mutatie in het Meridiaan-landschap die duidelijk buiten deze reikwijdte valt, en één die er duidelijk binnen valt maar makkelijk over het hoofd wordt gezien. Beargumenteer beide met een verwijzing naar reader §15.5.</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Chaotische exploratie uitvoeren (15 min, individueel, daarna plakken)</w:t>
      </w:r>
    </w:p>
    <w:p>
      <w:pPr>
        <w:spacing w:after="140" w:line="300"/>
      </w:pPr>
      <w:r>
        <w:rPr>
          <w:rFonts w:ascii="Calibri" w:cs="Calibri" w:eastAsia="Calibri" w:hAnsi="Calibri"/>
          <w:b w:val="false"/>
          <w:bCs w:val="false"/>
          <w:i w:val="false"/>
          <w:iCs w:val="false"/>
          <w:sz w:val="22"/>
          <w:szCs w:val="22"/>
        </w:rPr>
        <w:t xml:space="preserve">Schrijf, zonder overleg met je buurman of buurvrouw, minstens acht domain events op los te plakken memo's (fysiek of digitaal) die je kent uit een deel van het Meridiaan-landschap dat je zelf goed kent uit het casusdossier — bijvoorbeeld vanuit de rol van Vera (KERN), Karsten (Werkgeversportaal), Otto (Mutatieplatform), Priya (Wegwijzer) of Willemijn (Nabestaandenloket). Formuleer elk event in de verleden tijd, als een feit, niet als een processtap of systeemnaam. Plak ze op de gezamenlijke wand zonder ze eerst met anderen te bespreken.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Tijdlijn afdwingen (30 min, plenair)</w:t>
      </w:r>
    </w:p>
    <w:p>
      <w:pPr>
        <w:spacing w:after="140" w:line="300"/>
      </w:pPr>
      <w:r>
        <w:rPr>
          <w:rFonts w:ascii="Calibri" w:cs="Calibri" w:eastAsia="Calibri" w:hAnsi="Calibri"/>
          <w:b w:val="false"/>
          <w:bCs w:val="false"/>
          <w:i w:val="false"/>
          <w:iCs w:val="false"/>
          <w:sz w:val="22"/>
          <w:szCs w:val="22"/>
        </w:rPr>
        <w:t xml:space="preserve">Orden de memo's van de hele groep gezamenlijk chronologisch. Voeg duplicaten samen. Laat tegenstrijdige formuleringen van hetzelfde feit uitdrukkelijk naast elkaar hangen in plaats van er stilzwijgend één te kiezen. Noteer voor jezelf: bij welk punt in de tijdlijn ontstond de eerste onenigheid, en hoe voelde het om die onenigheid zichtbaar te laten hangen in plaats van meteen op te lossen?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Hotspots markeren (20 min, plenair)</w:t>
      </w:r>
    </w:p>
    <w:p>
      <w:pPr>
        <w:spacing w:after="140" w:line="300"/>
      </w:pPr>
      <w:r>
        <w:rPr>
          <w:rFonts w:ascii="Calibri" w:cs="Calibri" w:eastAsia="Calibri" w:hAnsi="Calibri"/>
          <w:b w:val="false"/>
          <w:bCs w:val="false"/>
          <w:i w:val="false"/>
          <w:iCs w:val="false"/>
          <w:sz w:val="22"/>
          <w:szCs w:val="22"/>
        </w:rPr>
        <w:t xml:space="preserve">Loop de tijdlijn nogmaals door en markeer elk punt waar de groep het oneens is, een vraag onbeantwoord blijft, of iemand een risico signaleert. Vergelijk je resultaat met dossierstuk 15-B: welke van de zes hotspots heeft jouw groep zelf ook gevonden, en is er een hotspot in jouw sessie die niet in dossierstuk 15-B voorkomt?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rol van de facilitator (20 min, tweetallen)</w:t>
      </w:r>
    </w:p>
    <w:p>
      <w:pPr>
        <w:spacing w:after="140" w:line="300"/>
      </w:pPr>
      <w:r>
        <w:rPr>
          <w:rFonts w:ascii="Calibri" w:cs="Calibri" w:eastAsia="Calibri" w:hAnsi="Calibri"/>
          <w:b w:val="false"/>
          <w:bCs w:val="false"/>
          <w:i w:val="false"/>
          <w:iCs w:val="false"/>
          <w:sz w:val="22"/>
          <w:szCs w:val="22"/>
        </w:rPr>
        <w:t xml:space="preserve">Reader §15.4 beschrijft drie dingen die Foppe als facilitator bewaakt: de volgorde van de fasen, wie niet aan het woord komt, en het onderscheid tussen een hotspot en een meningsverschil dat om een besluit vraagt. Bespreek met je partner: welke van deze drie zou voor jou het lastigst zijn om als facilitator vast te houden, en waarom? Geef een concreet voorbeeld uit de sessie in reader §15.6 waarin dat precies dreigde mis te gaan.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B — Verwerking en opbrengst</w:t>
      </w:r>
    </w:p>
    <w:p>
      <w:pPr>
        <w:pStyle w:val="Heading2"/>
        <w:spacing w:after="120" w:before="200"/>
      </w:pPr>
      <w:r>
        <w:rPr>
          <w:rFonts w:ascii="Georgia" w:cs="Georgia" w:eastAsia="Georgia" w:hAnsi="Georgia"/>
          <w:b/>
          <w:bCs/>
          <w:color w:val="2C5AA0"/>
          <w:sz w:val="28"/>
          <w:szCs w:val="28"/>
        </w:rPr>
        <w:t xml:space="preserve">Opdracht 6 — Pivotal events herkennen (20 min, groepjes van vier tot vijf)</w:t>
      </w:r>
    </w:p>
    <w:p>
      <w:pPr>
        <w:spacing w:after="140" w:line="300"/>
      </w:pPr>
      <w:r>
        <w:rPr>
          <w:rFonts w:ascii="Calibri" w:cs="Calibri" w:eastAsia="Calibri" w:hAnsi="Calibri"/>
          <w:b w:val="false"/>
          <w:bCs w:val="false"/>
          <w:i w:val="false"/>
          <w:iCs w:val="false"/>
          <w:sz w:val="22"/>
          <w:szCs w:val="22"/>
        </w:rPr>
        <w:t xml:space="preserve">Bekijk dossierstuk 15-C. Voor elk van de vier pivotal events: waarom is dit een omslagpunt en geen gewone stap in de tijdlijn? Gebruik de definitie uit reader §15.8 (wisseling van eigenaarschap of verantwoordelijkheid) om je antwoord te onderbouwen, niet alleen "het voelt belangrijk".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Het achtste relatiegebied duiden (25 min, groepjes van vier tot vijf)</w:t>
      </w:r>
    </w:p>
    <w:p>
      <w:pPr>
        <w:spacing w:after="140" w:line="300"/>
      </w:pPr>
      <w:r>
        <w:rPr>
          <w:rFonts w:ascii="Calibri" w:cs="Calibri" w:eastAsia="Calibri" w:hAnsi="Calibri"/>
          <w:b w:val="false"/>
          <w:bCs w:val="false"/>
          <w:i w:val="false"/>
          <w:iCs w:val="false"/>
          <w:sz w:val="22"/>
          <w:szCs w:val="22"/>
        </w:rPr>
        <w:t xml:space="preserve">Het vierde pivotal event uit dossierstuk 15-C valt op geen van de zeven relaties uit deel 13-14. Stel, met het casusdossier §5 en §2.1/§2.3 als bronmateriaal, een eerste, voorlopige inschatting op: welk context-mappingpatroon zou hier het beste passen tussen KERN en het Mutatieplatform voor de scheidingsafhandeling — en welke informatie mist het team nog om die keuze definitief te maken? Je hoeft geen volledig grensbeschermingsblad of relatieblad in te vullen; een onderbouwde eerste inschatting volstaat.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Hotspots classificeren met het vijfde veld (25 min, groepjes van vier tot vijf)</w:t>
      </w:r>
    </w:p>
    <w:p>
      <w:pPr>
        <w:spacing w:after="140" w:line="300"/>
      </w:pPr>
      <w:r>
        <w:rPr>
          <w:rFonts w:ascii="Calibri" w:cs="Calibri" w:eastAsia="Calibri" w:hAnsi="Calibri"/>
          <w:b w:val="false"/>
          <w:bCs w:val="false"/>
          <w:i w:val="false"/>
          <w:iCs w:val="false"/>
          <w:sz w:val="22"/>
          <w:szCs w:val="22"/>
        </w:rPr>
        <w:t xml:space="preserve">Pas het vijfde veld uit reader §15.11 ("is dit een hotspot die om een besluit, om verder onderzoek, of om een aanpassing van een bestaande grens vraagt — en wie draagt de vervolgstap?") toe op alle zes hotspots uit dossierstuk 15-B. Werk je antwoorden uit in een tabel met drie kolommen: hotspot, type vervolgstap, wie draagt hem.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Terugkoppeling aan de context map (25 min, groepjes van vier tot vijf)</w:t>
      </w:r>
    </w:p>
    <w:p>
      <w:pPr>
        <w:spacing w:after="140" w:line="300"/>
      </w:pPr>
      <w:r>
        <w:rPr>
          <w:rFonts w:ascii="Calibri" w:cs="Calibri" w:eastAsia="Calibri" w:hAnsi="Calibri"/>
          <w:b w:val="false"/>
          <w:bCs w:val="false"/>
          <w:i w:val="false"/>
          <w:iCs w:val="false"/>
          <w:sz w:val="22"/>
          <w:szCs w:val="22"/>
        </w:rPr>
        <w:t xml:space="preserve">Reader §15.10 onderscheidt drie categorieën waarin de wand van dagdeel A de context map van deel 13-14 raakt: bevestigd, wankel, ontbrekend. Kies, naast de drie voorbeelden uit de reader, een vierde denkbare bevinding die in elk van de drie categorieën zou kunnen vallen (je hoeft niet voor alle drie een echte bevinding uit het casusdossier te gebruiken — een plausibele, zelfbedachte bevinding binnen het Meridiaan-landschap mag ook). Beargumenteer waarom die in die categorie thuishoort.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Wat big-picture EventStorming niet doet (20 min, plenair)</w:t>
      </w:r>
    </w:p>
    <w:p>
      <w:pPr>
        <w:spacing w:after="140" w:line="300"/>
      </w:pPr>
      <w:r>
        <w:rPr>
          <w:rFonts w:ascii="Calibri" w:cs="Calibri" w:eastAsia="Calibri" w:hAnsi="Calibri"/>
          <w:b w:val="false"/>
          <w:bCs w:val="false"/>
          <w:i w:val="false"/>
          <w:iCs w:val="false"/>
          <w:sz w:val="22"/>
          <w:szCs w:val="22"/>
        </w:rPr>
        <w:t xml:space="preserve">Reader §15.9 laat bij de deeltijdwijziging en de scheidingsketen zien dat sommige hotspots bewust wórden doorgeschoven naar deel 16, in plaats van in deze sessie te worden opgelost. Bespreek gezamenlijk: wat maakt deze twee hotspots ongeschikt om vandaag, in een big-picture-sessie, definitief af te ronden? Formuleer een algemene regel voor wanneer een hotspot binnen een big-picture-sessie blijft en wanneer hij een ander instrument nodig heeft.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11 — Iris' vraag herhaald (15 min, plenair)</w:t>
      </w:r>
    </w:p>
    <w:p>
      <w:pPr>
        <w:spacing w:after="140" w:line="300"/>
      </w:pPr>
      <w:r>
        <w:rPr>
          <w:rFonts w:ascii="Calibri" w:cs="Calibri" w:eastAsia="Calibri" w:hAnsi="Calibri"/>
          <w:b w:val="false"/>
          <w:bCs w:val="false"/>
          <w:i w:val="false"/>
          <w:iCs w:val="false"/>
          <w:sz w:val="22"/>
          <w:szCs w:val="22"/>
        </w:rPr>
        <w:t xml:space="preserve">Vergelijk Daans antwoord op Iris' vraag "is de kaart compleet?" aan het eind van deel 14 met zijn antwoord aan het eind van dit deel (reader §15.10). Wat is er inhoudelijk veranderd tussen de twee antwoorden, en wat maakt het tweede antwoord — ondanks dat de kaart nóg steeds niet compleet is — een teken van vooruitgang in plaats van stilstand?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Een mutatie die duidelijk buiten de reikwijdte valt: een adreswijziging zonder gevolgen voor het dienstverband of de pensioenopbouw — die raakt geen enkel systeem in de keten "ontstaan tot doorgevoerd waar hij hoort te landen" op de manier die de sessie onderzoekt, ook al is het wel een mutatie in algemene zin. Een mutatie die er duidelijk binnen valt maar makkelijk over het hoofd wordt gezien: de externe overlijdensmelding via een derde partij (§2.1, §5) — deze ontstaat buiten het landschap zelf, wat hem makkelijk doet vergeten wanneer je alleen denkt vanuit de vijf eigen systemen, terwijl hij wel degelijk "ergens in het landschap ontstaat" zodra hij binnenkomt.</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Geen vaste uitwerking — dit is een oefening in het zelf ervaren van de werkvorm. Let bij het naderhand vergelijken op: zijn de events in de verleden tijd geformuleerd, gaat het om feiten en niet om systeemnamen of processtappen, en is er voldoende variatie in wélk deel van het landschap de events bestrijken.</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Geen vaste uitwerking. Een veelvoorkomende observatie: de eerste onenigheid ontstaat vaak rond een gebeurtenis die in meerdere systemen een net iets andere naam of granulariteit heeft — precies zoals bij Vera en Karsten in reader §15.6. Zichtbaar laten hangen voelt voor sommige deelnemers ongemakkelijk (het went om een discussie niet meteen "op te lossen"), maar dat ongemak is functioneel: het voorkomt dat de groep te vroeg naar een schijnbaar akkoord toe redeneert.</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Geen vaste uitwerking. Groepen vinden doorgaans minstens drie van de zes hotspots uit dossierstuk 15-B terug, met name de definitieverschillen (deeltijdwijziging, "actieve deelnemer") omdat die het makkelijkst ontstaan zodra twee systeemvertegenwoordigers dezelfde gebeurtenis benoemen. Een eigen hotspot die niet in 15-B voorkomt is legitiem en zelfs verwacht — de wand van elke sessie is uniek, ook bij hetzelfde landschap, omdat de samenstelling en het moment van de groep meespelen.</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Een goede uitwerking benoemt bijvoorbeeld: "wie niet aan het woord komt" is voor veel deelnemers het lastigst, omdat het vraagt om actief iemand aan te spreken zonder de indruk te wekken dat je aan zijn of haar deskundigheid twijfelt. Het concrete voorbeeld uit §15.6: Otto plakt binnen twee minuten tien memo's, Priya schrijft er twee — zonder Foppe's expliciete "Priya, herken jij dit vanuit Wegwijzer, of ontbreekt hier iets?" zou Priya's perspectief op "actieve deelnemer" (dat later een van de zes hotspots wordt) mogelijk nooit aan de muur zijn gekomen.</w:t>
      </w:r>
    </w:p>
    <w:p>
      <w:pPr>
        <w:pStyle w:val="Heading2"/>
        <w:spacing w:after="120" w:before="200"/>
      </w:pPr>
      <w:r>
        <w:rPr>
          <w:rFonts w:ascii="Georgia" w:cs="Georgia" w:eastAsia="Georgia" w:hAnsi="Georgia"/>
          <w:b/>
          <w:bCs/>
          <w:color w:val="2C5AA0"/>
          <w:sz w:val="28"/>
          <w:szCs w:val="28"/>
        </w:rPr>
        <w:t xml:space="preserve">Uitwerking 6</w:t>
      </w:r>
    </w:p>
    <w:p>
      <w:pPr>
        <w:pStyle w:val="ListParagraph"/>
        <w:numPr>
          <w:ilvl w:val="0"/>
          <w:numId w:val="1"/>
        </w:numPr>
        <w:spacing w:after="80"/>
      </w:pPr>
      <w:r>
        <w:rPr>
          <w:rFonts w:ascii="Calibri" w:cs="Calibri" w:eastAsia="Calibri" w:hAnsi="Calibri"/>
          <w:sz w:val="22"/>
          <w:szCs w:val="22"/>
        </w:rPr>
        <w:t xml:space="preserve">**Uitdiensttreding gemeld:** vóór dit event ligt het initiatief bij het Werkgeversportaal, erna moet het Mutatieplatform de verwerking oppakken — een duidelijke wisseling van wie handelt.</w:t>
      </w:r>
    </w:p>
    <w:p>
      <w:pPr>
        <w:pStyle w:val="ListParagraph"/>
        <w:numPr>
          <w:ilvl w:val="0"/>
          <w:numId w:val="1"/>
        </w:numPr>
        <w:spacing w:after="80"/>
      </w:pPr>
      <w:r>
        <w:rPr>
          <w:rFonts w:ascii="Calibri" w:cs="Calibri" w:eastAsia="Calibri" w:hAnsi="Calibri"/>
          <w:sz w:val="22"/>
          <w:szCs w:val="22"/>
        </w:rPr>
        <w:t xml:space="preserve">**Mutatie doorgezet naar KERN:** het Mutatieplatform draagt de mutatie over aan het systeem dat de authentieke registratie voert; verantwoordelijkheid voor de definitieve vastlegging verschuift.</w:t>
      </w:r>
    </w:p>
    <w:p>
      <w:pPr>
        <w:pStyle w:val="ListParagraph"/>
        <w:numPr>
          <w:ilvl w:val="0"/>
          <w:numId w:val="1"/>
        </w:numPr>
        <w:spacing w:after="80"/>
      </w:pPr>
      <w:r>
        <w:rPr>
          <w:rFonts w:ascii="Calibri" w:cs="Calibri" w:eastAsia="Calibri" w:hAnsi="Calibri"/>
          <w:sz w:val="22"/>
          <w:szCs w:val="22"/>
        </w:rPr>
        <w:t xml:space="preserve">**Recht op partnerpensioen vastgesteld:** de generieke mutatieverwerking draagt over aan het gespecialiseerde Nabestaandenloket, dat vanaf dit punt zelfstandig de rechtvaststelling voortzet.</w:t>
      </w:r>
    </w:p>
    <w:p>
      <w:pPr>
        <w:pStyle w:val="ListParagraph"/>
        <w:numPr>
          <w:ilvl w:val="0"/>
          <w:numId w:val="1"/>
        </w:numPr>
        <w:spacing w:after="80"/>
      </w:pPr>
      <w:r>
        <w:rPr>
          <w:rFonts w:ascii="Calibri" w:cs="Calibri" w:eastAsia="Calibri" w:hAnsi="Calibri"/>
          <w:sz w:val="22"/>
          <w:szCs w:val="22"/>
        </w:rPr>
        <w:t xml:space="preserve">**Gevolgen scheiding voor pensioenaanspraken berekend:** dit is het minst eenduidige geval — juist doordat onduidelijk is óf en wanneer de verantwoordelijkheid van KERN naar het Mutatieplatform (of andersom) overgaat, is dit zowel een pivotal event als een hotspot tegelijk: het omslagpunt is aanwezig, maar wie het bezet is niet vastgesteld.</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Een verdedigbare eerste inschatting: gezien de aard van de relatie (KERN als houder van de authentieke, gelaagde registratie, het Mutatieplatform als nieuw, nog te bouwen knooppunt) ligt een </w:t>
      </w:r>
      <w:r>
        <w:rPr>
          <w:rFonts w:ascii="Calibri" w:cs="Calibri" w:eastAsia="Calibri" w:hAnsi="Calibri"/>
          <w:b/>
          <w:bCs/>
          <w:i w:val="false"/>
          <w:iCs w:val="false"/>
          <w:sz w:val="22"/>
          <w:szCs w:val="22"/>
        </w:rPr>
        <w:t xml:space="preserve">shared kernel</w:t>
      </w:r>
      <w:r>
        <w:rPr>
          <w:rFonts w:ascii="Calibri" w:cs="Calibri" w:eastAsia="Calibri" w:hAnsi="Calibri"/>
          <w:b w:val="false"/>
          <w:bCs w:val="false"/>
          <w:i w:val="false"/>
          <w:iCs w:val="false"/>
          <w:sz w:val="22"/>
          <w:szCs w:val="22"/>
        </w:rPr>
        <w:t xml:space="preserve">, vergelijkbaar met de bestaande KERN-Mutatieplatform-relatie uit deel 13, het meest voor de hand — mits blijkt dat scheidingsgegevens een vergelijkbaar kernbegrip vormen als "deelnemer" en "dienstverband". Een alternatief, even verdedigbaar antwoord is </w:t>
      </w:r>
      <w:r>
        <w:rPr>
          <w:rFonts w:ascii="Calibri" w:cs="Calibri" w:eastAsia="Calibri" w:hAnsi="Calibri"/>
          <w:b/>
          <w:bCs/>
          <w:i w:val="false"/>
          <w:iCs w:val="false"/>
          <w:sz w:val="22"/>
          <w:szCs w:val="22"/>
        </w:rPr>
        <w:t xml:space="preserve">customer/supplier</w:t>
      </w:r>
      <w:r>
        <w:rPr>
          <w:rFonts w:ascii="Calibri" w:cs="Calibri" w:eastAsia="Calibri" w:hAnsi="Calibri"/>
          <w:b w:val="false"/>
          <w:bCs w:val="false"/>
          <w:i w:val="false"/>
          <w:iCs w:val="false"/>
          <w:sz w:val="22"/>
          <w:szCs w:val="22"/>
        </w:rPr>
        <w:t xml:space="preserve">, als blijkt dat het Mutatieplatform hier feitelijk afhankelijk is van wat KERN levert zonder gelijkwaardige invloed terug. Wat ontbreekt om dit definitief te maken: of scheidingsgegevens al een gedeeld, gezamenlijk onderhouden begrip vormen (zoals bij shared kernel) of dat één partij feitelijk leidend is (zoals bij customer/supplier) — precies het soort vraag die stap 1 van het grensbeschermingsblad of relatieblad zou moeten beantwoorden, wat in deze sessie nog niet is gebeurd.</w:t>
      </w:r>
    </w:p>
    <w:p>
      <w:pPr>
        <w:pStyle w:val="Heading2"/>
        <w:spacing w:after="120" w:before="200"/>
      </w:pPr>
      <w:r>
        <w:rPr>
          <w:rFonts w:ascii="Georgia" w:cs="Georgia" w:eastAsia="Georgia" w:hAnsi="Georgia"/>
          <w:b/>
          <w:bCs/>
          <w:color w:val="2C5AA0"/>
          <w:sz w:val="28"/>
          <w:szCs w:val="28"/>
        </w:rPr>
        <w:t xml:space="preserve">Uitwerking 8</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Hotspot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 vervolgstap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Wie draagt hem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Deeltijdwijziging: één of twee events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Verder onderzoek (uitdiepen met domain storytelling)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Input voor deel 16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Aankomstroute externe overlijdensmelding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Verder onderzoek (kennislacune, geen meningsverschil)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Otto en Vera, buiten de sessie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definities "actieve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Aanpassing van een bestaande grens (uitbreiding van de conformist-afspraak uit deel 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Priya en Vera, met de bestaande contactpersoonsafspraak als basis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 geprioriteerd" bestaat nergens 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Besluit (ontwerpvraag voor het te bouwen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Otto, als onderdeel van het ontwerp, niet van het huidige landschap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Scheidingsketen: volgorde wisselt per meldroute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Verder onderzoek (uitdiepen met domain storytelling / procesmodellering)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Input voor deel 16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Onbenoemd pivotal event scheidingsafhandeling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Aanpassing van een bestaande grens (nieuwe, achtste relatie op de context map)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Daan, terugkoppeling naar de context map</w:t>
            </w:r>
          </w:p>
        </w:tc>
      </w:tr>
    </w:tbl>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Een voorbeeld per categorie (andere, even goed onderbouwde voorbeelden zijn ook geldig):</w:t>
      </w:r>
    </w:p>
    <w:p>
      <w:pPr>
        <w:pStyle w:val="ListParagraph"/>
        <w:numPr>
          <w:ilvl w:val="0"/>
          <w:numId w:val="1"/>
        </w:numPr>
        <w:spacing w:after="80"/>
      </w:pPr>
      <w:r>
        <w:rPr>
          <w:rFonts w:ascii="Calibri" w:cs="Calibri" w:eastAsia="Calibri" w:hAnsi="Calibri"/>
          <w:sz w:val="22"/>
          <w:szCs w:val="22"/>
        </w:rPr>
        <w:t xml:space="preserve">**Bevestigd:** een hotspot zou kunnen bevestigen dat de open-host-service-relatie tussen Mutatieplatform en Wegwijzer klopt, als blijkt dat de tijdlijn laat zien dat Wegwijzer inderdaad alleen ontvangt zonder ooit zelf een mutatie te initiëren — precies wat het patroon veronderstelt.</w:t>
      </w:r>
    </w:p>
    <w:p>
      <w:pPr>
        <w:pStyle w:val="ListParagraph"/>
        <w:numPr>
          <w:ilvl w:val="0"/>
          <w:numId w:val="1"/>
        </w:numPr>
        <w:spacing w:after="80"/>
      </w:pPr>
      <w:r>
        <w:rPr>
          <w:rFonts w:ascii="Calibri" w:cs="Calibri" w:eastAsia="Calibri" w:hAnsi="Calibri"/>
          <w:sz w:val="22"/>
          <w:szCs w:val="22"/>
        </w:rPr>
        <w:t xml:space="preserve">**Wankel:** een hotspot zou het patroon "aankomstroute externe melding" kunnen raken aan de published-language-relatie tussen Werkgeversportaal en Nabestaandenloket, als blijkt dat de externe melding via een net iets ander kanaal binnenkomt dan de published language veronderstelt — het patroon zelf blijft overeind, maar de aanname over hoe het feit binnenkomt wankelt.</w:t>
      </w:r>
    </w:p>
    <w:p>
      <w:pPr>
        <w:pStyle w:val="ListParagraph"/>
        <w:numPr>
          <w:ilvl w:val="0"/>
          <w:numId w:val="1"/>
        </w:numPr>
        <w:spacing w:after="80"/>
      </w:pPr>
      <w:r>
        <w:rPr>
          <w:rFonts w:ascii="Calibri" w:cs="Calibri" w:eastAsia="Calibri" w:hAnsi="Calibri"/>
          <w:sz w:val="22"/>
          <w:szCs w:val="22"/>
        </w:rPr>
        <w:t xml:space="preserve">**Ontbrekend:** net als het achtste relatiegebied uit §15.10 zou een hotspot een relatie tussen Wegwijzer en het Nabestaandenloket kunnen blootleggen (al genoemd als denkbare ontbrekende relatie in de uitwerking van deel 14, opdracht 6c) — als de tijdlijn laat zien dat Wegwijzer een gebeurtenis toont die feitelijk uit het Nabestaandenloket komt, zonder dat die relatie ooit is vastgelegd.</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Beide hotspots delen een kenmerk dat ze ongeschikt maakt voor big-picture-niveau: ze vragen om het uiteenrafelen van één proces in detail — meerdere paden, precieze volgorde, randgevallen — terwijl big-picture EventStorming per ontwerp breed en grof blijft. Een algemene regel: een hotspot blijft op big-picture-niveau zolang de vervolgstap is "vaststellen wát het probleem is" (zoals bij de definitieverschillen, die met een gesprek en een afspraak op te lossen zijn); een hotspot heeft een ander instrument nodig zodra de vervolgstap zelf al vraagt om één proces in detail door te lopen, met meerdere varianten en een precieze volgorde — dat is werk voor domain storytelling of procesmodellering op ontwerpniveau (deel 16), niet voor een big-picture-wand.</w:t>
      </w:r>
    </w:p>
    <w:p>
      <w:pPr>
        <w:pStyle w:val="Heading2"/>
        <w:spacing w:after="120" w:before="200"/>
      </w:pPr>
      <w:r>
        <w:rPr>
          <w:rFonts w:ascii="Georgia" w:cs="Georgia" w:eastAsia="Georgia" w:hAnsi="Georgia"/>
          <w:b/>
          <w:bCs/>
          <w:color w:val="2C5AA0"/>
          <w:sz w:val="28"/>
          <w:szCs w:val="28"/>
        </w:rPr>
        <w:t xml:space="preserve">Uitwerking 11</w:t>
      </w:r>
    </w:p>
    <w:p>
      <w:pPr>
        <w:spacing w:after="140" w:line="300"/>
      </w:pPr>
      <w:r>
        <w:rPr>
          <w:rFonts w:ascii="Calibri" w:cs="Calibri" w:eastAsia="Calibri" w:hAnsi="Calibri"/>
          <w:b w:val="false"/>
          <w:bCs w:val="false"/>
          <w:i w:val="false"/>
          <w:iCs w:val="false"/>
          <w:sz w:val="22"/>
          <w:szCs w:val="22"/>
        </w:rPr>
        <w:t xml:space="preserve">Aan het eind van deel 14 was Daans antwoord op "is dit compleet?" een eerlijke erkenning van onwetendheid: "Nee. Dit zijn de zeven relaties waar we vandaag al iets over wisten." Aan het eind van dit deel is het antwoord specifieker: "Nog niet. Maar voor het eerst weten we wélke stukken we nog missen." Het verschil zit niet in de compleetheid van de kaart zelf — die is in beide gevallen onvolledig — maar in de aard van die onvolledigheid: van een vermoeden dat er iets zou kunnen ontbreken, naar een concreet, benoemd relatiegebied (de scheidingsafhandeling tussen KERN en Mutatieplatform) dat de kaart nog mist. Dat is precies de opbrengst die Foppe aan het eind van §15.10 benoemt: een sessie die de juiste vragen zichtbaar maakt in plaats van ze op te lossen, is desondanks vooruitgang — onwetendheid die je kunt benoemen is bruikbaarder dan onwetendheid die je alleen vermoedt.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2026-08-16T19:18:40.528Z</dcterms:created>
  <dcterms:modified xsi:type="dcterms:W3CDTF">2026-08-16T19:18:40.528Z</dcterms:modified>
</cp:coreProperties>
</file>

<file path=docProps/custom.xml><?xml version="1.0" encoding="utf-8"?>
<Properties xmlns="http://schemas.openxmlformats.org/officeDocument/2006/custom-properties" xmlns:vt="http://schemas.openxmlformats.org/officeDocument/2006/docPropsVTypes"/>
</file>