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16 — EventStorming II: procesmodellering en ontwerpniveau; domain storytelling</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16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16 is het scharnier tussen het brede, landschapsbrede beeld van deel 15 en het scherpe, voorbeeldgedreven werk van deel 17. Het bouwt inhoudelijk direct voort op de twee doorgeschoven hotspots uit deel 15 (deeltijdwijziging, scheidingsketen) — begin dit deel dus pas nadat deel 15 is afgerond, en zorg dat de gefotografeerde of gedigitaliseerde wand van deel 15 beschikbaar is als referentiemateriaal, ook al wordt hij in dit deel niet opnieuw opgehangen.</w:t>
      </w:r>
    </w:p>
    <w:p>
      <w:pPr>
        <w:spacing w:after="140" w:line="300"/>
      </w:pPr>
      <w:r>
        <w:rPr>
          <w:rFonts w:ascii="Calibri" w:cs="Calibri" w:eastAsia="Calibri" w:hAnsi="Calibri"/>
          <w:b w:val="false"/>
          <w:bCs w:val="false"/>
          <w:i w:val="false"/>
          <w:iCs w:val="false"/>
          <w:sz w:val="22"/>
          <w:szCs w:val="22"/>
        </w:rPr>
        <w:t xml:space="preserve">Dit deel introduceert twee instrumenten tegelijk (procesmodellerings-/ontwerpniveau-EventStorming en domain storytelling) en behandelt ze niet als alternatieven, maar als complementair: het ene werkt goed bij een proces met een beperkt aantal, goed te abstraheren varianten (de deeltijdwijziging), het andere bij een proces met sterk uiteenlopende, mensafhankelijke paden (de scheidingsketen). Bewaak dat onderscheid expliciet — het is de kern van wat dit deel onderwijst, niet een terzijde.</w:t>
      </w:r>
    </w:p>
    <w:p>
      <w:pPr>
        <w:pStyle w:val="ListParagraph"/>
        <w:numPr>
          <w:ilvl w:val="0"/>
          <w:numId w:val="1"/>
        </w:numPr>
        <w:spacing w:after="80"/>
      </w:pPr>
      <w:r>
        <w:rPr>
          <w:rFonts w:ascii="Calibri" w:cs="Calibri" w:eastAsia="Calibri" w:hAnsi="Calibri"/>
          <w:sz w:val="22"/>
          <w:szCs w:val="22"/>
        </w:rPr>
        <w:t xml:space="preserve">**Module-onderdeel:** vervolg op het curriculumonderdeel "EventStorming op big-picture-, procesmodellerings- en ontwerpniveau" uit de iSAQB Advanced-module DDD (hier proces- en ontwerpniveau), aangevuld met domain storytelling als apart, in het curriculum eveneens genoemd samenwerkingsinstrument.</w:t>
      </w:r>
    </w:p>
    <w:p>
      <w:pPr>
        <w:pStyle w:val="ListParagraph"/>
        <w:numPr>
          <w:ilvl w:val="0"/>
          <w:numId w:val="1"/>
        </w:numPr>
        <w:spacing w:after="80"/>
      </w:pPr>
      <w:r>
        <w:rPr>
          <w:rFonts w:ascii="Calibri" w:cs="Calibri" w:eastAsia="Calibri" w:hAnsi="Calibri"/>
          <w:sz w:val="22"/>
          <w:szCs w:val="22"/>
        </w:rPr>
        <w:t xml:space="preserve">**Werkvorm:** de processtroom.</w:t>
      </w:r>
    </w:p>
    <w:p>
      <w:pPr>
        <w:pStyle w:val="ListParagraph"/>
        <w:numPr>
          <w:ilvl w:val="0"/>
          <w:numId w:val="1"/>
        </w:numPr>
        <w:spacing w:after="80"/>
      </w:pPr>
      <w:r>
        <w:rPr>
          <w:rFonts w:ascii="Calibri" w:cs="Calibri" w:eastAsia="Calibri" w:hAnsi="Calibri"/>
          <w:sz w:val="22"/>
          <w:szCs w:val="22"/>
        </w:rPr>
        <w:t xml:space="preserve">**Duur:** één dagdeel (circa 3,5 uur inclusief pauze).</w:t>
      </w:r>
    </w:p>
    <w:p>
      <w:pPr>
        <w:pStyle w:val="ListParagraph"/>
        <w:numPr>
          <w:ilvl w:val="0"/>
          <w:numId w:val="1"/>
        </w:numPr>
        <w:spacing w:after="80"/>
      </w:pPr>
      <w:r>
        <w:rPr>
          <w:rFonts w:ascii="Calibri" w:cs="Calibri" w:eastAsia="Calibri" w:hAnsi="Calibri"/>
          <w:sz w:val="22"/>
          <w:szCs w:val="22"/>
        </w:rPr>
        <w:t xml:space="preserve">**Voorbereiding deelnemers:** deel 15 afgerond, inclusief kennis van de twee doorgeschoven hotspots (deeltijdwijziging, scheidingsketen). Deel 6 uit niveau 1 (aggregate als consistentiegrens) is nuttig maar niet strikt vereist — dit deel herhaalt het begrip kort waar nodig.</w:t>
      </w:r>
    </w:p>
    <w:p>
      <w:pPr>
        <w:pStyle w:val="ListParagraph"/>
        <w:numPr>
          <w:ilvl w:val="0"/>
          <w:numId w:val="1"/>
        </w:numPr>
        <w:spacing w:after="80"/>
      </w:pPr>
      <w:r>
        <w:rPr>
          <w:rFonts w:ascii="Calibri" w:cs="Calibri" w:eastAsia="Calibri" w:hAnsi="Calibri"/>
          <w:sz w:val="22"/>
          <w:szCs w:val="22"/>
        </w:rPr>
        <w:t xml:space="preserve">**Materiaal vooraf regelen:** twee werktafels of twee digitale werkruimtes (deel A en deel B kunnen ook gelijktijdig in subgroepen, zie §3), memo's in vier kleuren (blauw, oranje, paars/lila, groen) voor deel A, en losse memo's of kaartjes voor het opschrijven van genummerde verhaalzinnen in deel B.</w:t>
      </w:r>
    </w:p>
    <w:p>
      <w:pPr>
        <w:pStyle w:val="Heading2"/>
        <w:spacing w:after="120" w:before="200"/>
      </w:pPr>
      <w:r>
        <w:rPr>
          <w:rFonts w:ascii="Georgia" w:cs="Georgia" w:eastAsia="Georgia" w:hAnsi="Georgia"/>
          <w:b/>
          <w:bCs/>
          <w:color w:val="2C5AA0"/>
          <w:sz w:val="28"/>
          <w:szCs w:val="28"/>
        </w:rPr>
        <w:t xml:space="preserve">2. Tijdschema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15: de twee doorgeschoven hotspots, aankondiging van dit 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Casus: twee kleine werktafels (reader §16.2)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0:20-0:40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Procesmodellerings- en ontwerpniveau uitgelegd (§16.3)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de vraag herformuleren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het proces zelf uitschrijven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de ondergrensregel als hotspot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de voorlopige aggregaatgrens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vertelling versus model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 storytelling uitgelegd (§16.5)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een eigen verhaal navertellen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 waarom niet meteen EventStorming?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3:00-3:20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8 en 9 — verhalen vergelijken, de processtroom invullen (gecombineerd, in groepjes)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3:20-3:30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10 en afsluiting: vooruitblik deel 17</w:t>
            </w:r>
          </w:p>
        </w:tc>
      </w:tr>
    </w:tbl>
    <w:p>
      <w:pPr>
        <w:spacing w:after="140" w:line="300"/>
      </w:pPr>
      <w:r>
        <w:rPr>
          <w:rFonts w:ascii="Calibri" w:cs="Calibri" w:eastAsia="Calibri" w:hAnsi="Calibri"/>
          <w:b w:val="false"/>
          <w:bCs w:val="false"/>
          <w:i w:val="false"/>
          <w:iCs w:val="false"/>
          <w:sz w:val="22"/>
          <w:szCs w:val="22"/>
        </w:rPr>
        <w:t xml:space="preserve">Loop je uit in het ochtenddeel (deeltijdwijziging), dan is opdracht 5 de eerste kandidaat om te verkorten tot een plenaire vraag zonder uitgebreide voorbeelden delen. Schrap nooit opdracht 2 of 4: dit is waar de kernconclusie (het verschil zat in de vertelling, niet in het model) en de eerste aanraking met een voorlopige aggregaatgrens ontstaan. Loop je uit in het middagdeel (scheidingsketen), dan kan opdracht 6 worden ingekort tot één verhaal in plaats van een eigen keuze uit drie. Schrap nooit opdracht 8 of 9: dit is waar domain storytelling en procesmodellering daadwerkelijk worden samengebracht — het functionele hart van dit deel.</w:t>
      </w:r>
    </w:p>
    <w:p>
      <w:pPr>
        <w:pStyle w:val="Heading2"/>
        <w:spacing w:after="120" w:before="200"/>
      </w:pPr>
      <w:r>
        <w:rPr>
          <w:rFonts w:ascii="Georgia" w:cs="Georgia" w:eastAsia="Georgia" w:hAnsi="Georgia"/>
          <w:b/>
          <w:bCs/>
          <w:color w:val="2C5AA0"/>
          <w:sz w:val="28"/>
          <w:szCs w:val="28"/>
        </w:rPr>
        <w:t xml:space="preserve">3. Alternatieve indeling: twee parallelle subgroepen</w:t>
      </w:r>
    </w:p>
    <w:p>
      <w:pPr>
        <w:spacing w:after="140" w:line="300"/>
      </w:pPr>
      <w:r>
        <w:rPr>
          <w:rFonts w:ascii="Calibri" w:cs="Calibri" w:eastAsia="Calibri" w:hAnsi="Calibri"/>
          <w:b w:val="false"/>
          <w:bCs w:val="false"/>
          <w:i w:val="false"/>
          <w:iCs w:val="false"/>
          <w:sz w:val="22"/>
          <w:szCs w:val="22"/>
        </w:rPr>
        <w:t xml:space="preserve">Bij een groep van tien of meer deelnemers kan deel A en deel B gelijktijdig in twee subgroepen worden gedaan (de ene helft werkt eerst de deeltijdwijziging uit, de andere de scheidingsketen), met een korte kruisbestuiving na de pauze waarin beide subgroepen elkaar hun bevindingen presenteren voordat opdracht 8 en 9 gezamenlijk worden gedaan. Dit vraagt twee begeleiders of een docent die tussen twee tafels kan schakelen; bij twijfel is de sequentiële indeling (zoals in het tijdschema) veiliger.</w:t>
      </w:r>
    </w:p>
    <w:p>
      <w:pPr>
        <w:pStyle w:val="Heading2"/>
        <w:spacing w:after="120" w:before="200"/>
      </w:pPr>
      <w:r>
        <w:rPr>
          <w:rFonts w:ascii="Georgia" w:cs="Georgia" w:eastAsia="Georgia" w:hAnsi="Georgia"/>
          <w:b/>
          <w:bCs/>
          <w:color w:val="2C5AA0"/>
          <w:sz w:val="28"/>
          <w:szCs w:val="28"/>
        </w:rPr>
        <w:t xml:space="preserve">4. Didactische aanwijzingen</w:t>
      </w:r>
    </w:p>
    <w:p>
      <w:pPr>
        <w:spacing w:after="140" w:line="300"/>
      </w:pPr>
      <w:r>
        <w:rPr>
          <w:rFonts w:ascii="Calibri" w:cs="Calibri" w:eastAsia="Calibri" w:hAnsi="Calibri"/>
          <w:b/>
          <w:bCs/>
          <w:i w:val="false"/>
          <w:iCs w:val="false"/>
          <w:sz w:val="22"/>
          <w:szCs w:val="22"/>
        </w:rPr>
        <w:t xml:space="preserve">Procesmodellerings- en ontwerpniveau uitgelegd (0:20-0:40).</w:t>
      </w:r>
      <w:r>
        <w:rPr>
          <w:rFonts w:ascii="Calibri" w:cs="Calibri" w:eastAsia="Calibri" w:hAnsi="Calibri"/>
          <w:b w:val="false"/>
          <w:bCs w:val="false"/>
          <w:i w:val="false"/>
          <w:iCs w:val="false"/>
          <w:sz w:val="22"/>
          <w:szCs w:val="22"/>
        </w:rPr>
        <w:t xml:space="preserve"> Besteed hier expliciet aandacht aan het onderscheid tussen commando (kan mislukken) en event (voltooid feit) — dit is voor veel deelnemers, ook wie deel 15 goed heeft gevolgd, een nieuw onderscheid, omdat big-picture EventStorming alleen met events werkt. Een goede controlevraag: "Waarom is 'deeltijdwijziging doorgeven' een commando en geen event?" (antwoord: omdat het kan mislukken — een werkgever kan een ongeldige wijziging aanleveren — terwijl een event per definitie al is gebeurd). Behandel ontwerpniveau kort en nadrukkelijk als voorlopig: benoem meteen dat de aggregaatgrenzen die hier ontstaan in deel 18 pas echt worden getoetst, zodat deelnemers ze niet als definitief internaliseren.</w:t>
      </w:r>
    </w:p>
    <w:p>
      <w:pPr>
        <w:spacing w:after="140" w:line="300"/>
      </w:pPr>
      <w:r>
        <w:rPr>
          <w:rFonts w:ascii="Calibri" w:cs="Calibri" w:eastAsia="Calibri" w:hAnsi="Calibri"/>
          <w:b/>
          <w:bCs/>
          <w:i w:val="false"/>
          <w:iCs w:val="false"/>
          <w:sz w:val="22"/>
          <w:szCs w:val="22"/>
        </w:rPr>
        <w:t xml:space="preserve">Opdracht 2 (het proces zelf uitschrijven).</w:t>
      </w:r>
      <w:r>
        <w:rPr>
          <w:rFonts w:ascii="Calibri" w:cs="Calibri" w:eastAsia="Calibri" w:hAnsi="Calibri"/>
          <w:b w:val="false"/>
          <w:bCs w:val="false"/>
          <w:i w:val="false"/>
          <w:iCs w:val="false"/>
          <w:sz w:val="22"/>
          <w:szCs w:val="22"/>
        </w:rPr>
        <w:t xml:space="preserve"> Laat groepen echt eerst zelf proberen vóór ze dossierstuk 16-B bekijken — de waarde van deze opdracht zit in het zelf ervaren waar de ambiguïteit ontstaat (meestal bij de vraag of het Werkgeversportaal "twee handelingen" ook als twee events moet melden), niet in het reproduceren van de reader.</w:t>
      </w:r>
    </w:p>
    <w:p>
      <w:pPr>
        <w:spacing w:after="140" w:line="300"/>
      </w:pPr>
      <w:r>
        <w:rPr>
          <w:rFonts w:ascii="Calibri" w:cs="Calibri" w:eastAsia="Calibri" w:hAnsi="Calibri"/>
          <w:b/>
          <w:bCs/>
          <w:i w:val="false"/>
          <w:iCs w:val="false"/>
          <w:sz w:val="22"/>
          <w:szCs w:val="22"/>
        </w:rPr>
        <w:t xml:space="preserve">Opdracht 4 (de voorlopige aggregaatgrens).</w:t>
      </w:r>
      <w:r>
        <w:rPr>
          <w:rFonts w:ascii="Calibri" w:cs="Calibri" w:eastAsia="Calibri" w:hAnsi="Calibri"/>
          <w:b w:val="false"/>
          <w:bCs w:val="false"/>
          <w:i w:val="false"/>
          <w:iCs w:val="false"/>
          <w:sz w:val="22"/>
          <w:szCs w:val="22"/>
        </w:rPr>
        <w:t xml:space="preserve"> Verwacht uiteenlopende antwoorden, en dat is goed — dit is precies het soort vraag waar deel 18 dieper op ingaat. Voorkom dat je hier als docent al een "juist antwoord" suggereert; markeer expliciet dat elke beargumenteerde indeling op dit punt geldig is, zolang de argumentatie (welke gegevens moeten in samenhang consistent blijven) klopt.</w:t>
      </w:r>
    </w:p>
    <w:p>
      <w:pPr>
        <w:spacing w:after="140" w:line="300"/>
      </w:pPr>
      <w:r>
        <w:rPr>
          <w:rFonts w:ascii="Calibri" w:cs="Calibri" w:eastAsia="Calibri" w:hAnsi="Calibri"/>
          <w:b/>
          <w:bCs/>
          <w:i w:val="false"/>
          <w:iCs w:val="false"/>
          <w:sz w:val="22"/>
          <w:szCs w:val="22"/>
        </w:rPr>
        <w:t xml:space="preserve">Domain storytelling uitgelegd (2:15-2:30).</w:t>
      </w:r>
      <w:r>
        <w:rPr>
          <w:rFonts w:ascii="Calibri" w:cs="Calibri" w:eastAsia="Calibri" w:hAnsi="Calibri"/>
          <w:b w:val="false"/>
          <w:bCs w:val="false"/>
          <w:i w:val="false"/>
          <w:iCs w:val="false"/>
          <w:sz w:val="22"/>
          <w:szCs w:val="22"/>
        </w:rPr>
        <w:t xml:space="preserve"> Het belangrijkste punt om hier hard te maken: domain storytelling is geen "informele versie" van EventStorming, maar een instrument met een eigen functie — het houdt de concrete situatie vast in plaats van te abstraheren. Gebruik reader §16.5, laatste alinea, letterlijk als toelichting. Vermijd de verleiding om een letterlijke, gestandaardiseerde iconenset te introduceren; laat deelnemers, conform de IP-regel van deze cursus, hun eigen eenvoudige pictogrammen kiezen voor actor en werkobject — de werkvorm zelf, niet een specifieke symbolentaal, is het leerdoel.</w:t>
      </w:r>
    </w:p>
    <w:p>
      <w:pPr>
        <w:spacing w:after="140" w:line="300"/>
      </w:pPr>
      <w:r>
        <w:rPr>
          <w:rFonts w:ascii="Calibri" w:cs="Calibri" w:eastAsia="Calibri" w:hAnsi="Calibri"/>
          <w:b/>
          <w:bCs/>
          <w:i w:val="false"/>
          <w:iCs w:val="false"/>
          <w:sz w:val="22"/>
          <w:szCs w:val="22"/>
        </w:rPr>
        <w:t xml:space="preserve">Opdracht 6 (een eigen verhaal navertellen).</w:t>
      </w:r>
      <w:r>
        <w:rPr>
          <w:rFonts w:ascii="Calibri" w:cs="Calibri" w:eastAsia="Calibri" w:hAnsi="Calibri"/>
          <w:b w:val="false"/>
          <w:bCs w:val="false"/>
          <w:i w:val="false"/>
          <w:iCs w:val="false"/>
          <w:sz w:val="22"/>
          <w:szCs w:val="22"/>
        </w:rPr>
        <w:t xml:space="preserve"> Loop rond en let erop dat deelnemers werkelijk vertellen (concrete acties, concrete personen) in plaats van al te abstraheren naar rollen — "de medewerker verwerkt de mutatie" is te generiek; "Karsten belt de werkgever terug om te verifiëren" is het juiste soort zin.</w:t>
      </w:r>
    </w:p>
    <w:p>
      <w:pPr>
        <w:spacing w:after="140" w:line="300"/>
      </w:pPr>
      <w:r>
        <w:rPr>
          <w:rFonts w:ascii="Calibri" w:cs="Calibri" w:eastAsia="Calibri" w:hAnsi="Calibri"/>
          <w:b/>
          <w:bCs/>
          <w:i w:val="false"/>
          <w:iCs w:val="false"/>
          <w:sz w:val="22"/>
          <w:szCs w:val="22"/>
        </w:rPr>
        <w:t xml:space="preserve">Opdracht 8 en 9 (gecombineerd).</w:t>
      </w:r>
      <w:r>
        <w:rPr>
          <w:rFonts w:ascii="Calibri" w:cs="Calibri" w:eastAsia="Calibri" w:hAnsi="Calibri"/>
          <w:b w:val="false"/>
          <w:bCs w:val="false"/>
          <w:i w:val="false"/>
          <w:iCs w:val="false"/>
          <w:sz w:val="22"/>
          <w:szCs w:val="22"/>
        </w:rPr>
        <w:t xml:space="preserve"> Dit is het zwaartepunt van het deel. Zorg dat groepen niet blijven hangen in het navertellen (dat hebben ze net gedaan) maar daadwerkelijk doorstoten naar de vertaalslag in stap 3 van de processtroom. Gebruik, als een groep vastloopt, de vraag: "Op welk punt zou je, als buitenstaander die geen van de drie verhalen kent, niet meer kunnen zien welk verhaal je aan het lezen bent?" — dat punt is het samenkomstpunt.</w:t>
      </w:r>
    </w:p>
    <w:p>
      <w:pPr>
        <w:spacing w:after="140" w:line="300"/>
      </w:pPr>
      <w:r>
        <w:rPr>
          <w:rFonts w:ascii="Calibri" w:cs="Calibri" w:eastAsia="Calibri" w:hAnsi="Calibri"/>
          <w:b/>
          <w:bCs/>
          <w:i w:val="false"/>
          <w:iCs w:val="false"/>
          <w:sz w:val="22"/>
          <w:szCs w:val="22"/>
        </w:rPr>
        <w:t xml:space="preserve">Afsluiting (3:20-3:30).</w:t>
      </w:r>
      <w:r>
        <w:rPr>
          <w:rFonts w:ascii="Calibri" w:cs="Calibri" w:eastAsia="Calibri" w:hAnsi="Calibri"/>
          <w:b w:val="false"/>
          <w:bCs w:val="false"/>
          <w:i w:val="false"/>
          <w:iCs w:val="false"/>
          <w:sz w:val="22"/>
          <w:szCs w:val="22"/>
        </w:rPr>
        <w:t xml:space="preserve"> Sluit af met Otto's en Iris' constatering uit reader §16.8 — het punt dat er "geen gelijk te kiezen was, alleen een vraag die te grof gesteld was" is de samenvattende boodschap van het hele deel en verdient een expliciete, hardop uitgesproken herhaling.</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 blijft "is het één of twee gebeurtenissen" herhalen zonder het proces uit te schrijven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vraag is nog niet geherformuleerd zoals Foppe dat doet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terug naar opdracht 1: "wat is het eerste commando, wie geeft het?"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Commando's en events worden door elkaar gebruikt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Onderscheid tussen intentie (kan mislukken) en feit (voltooid) nog niet scherp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"kan dit ook niet gebeuren? dan is het een commando"</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Aggregaatgrens wordt als definitief besluit gepresenteerd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Vooruitlopen op deel 18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expliciet: "dit is een gok, geen besluit — deel 18 toetst hem"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Domain-storytellingzinnen zijn te abstract ("actor voert mutatie uit")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Reflex om meteen te abstraheren zoals bij EventStorming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letterlijk, in het verhaal dat je kent?"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 kiest één van de drie verhalen als "het juiste" in plaats van ze te vergelijken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Reflex om naar één waarheid te zoeken, net als bij de deeltijdwijziging in deel 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Foppe's punt: geen van de verhalen heeft ongelijk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 vertaalt de verschillen tussen verhalen niet terug naar commando/event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Blijft hangen in de vertelvorm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Stel de vraag uit §4 hierboven: "waar zou een buitenstaander het verschil niet meer zien?"</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16 wordt niet becijferd. Houd bij of elke groep in opdracht 2 zelfstandig tot een proces komt met minstens de vier bouwstenen (commando, event, beleidsregel, leesmodel) correct toegepast — niet noodzakelijk identiek aan dossierstuk 16-B, maar intern consistent. Houd voor opdracht 9 bij of de processtroom alle vier de stappen bevat én het vijfde veld is toegepast op minstens twee knooppunten (het samenkomstpunt en het derde, afwijkende verhaal). Noteer per groep: voldoet / voldoet met hulp / voldoet niet.</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2 (§2, §5)</w:t>
      </w:r>
    </w:p>
    <w:p>
      <w:pPr>
        <w:pStyle w:val="ListParagraph"/>
        <w:numPr>
          <w:ilvl w:val="0"/>
          <w:numId w:val="1"/>
        </w:numPr>
        <w:spacing w:after="80"/>
      </w:pPr>
      <w:r>
        <w:rPr>
          <w:rFonts w:ascii="Calibri" w:cs="Calibri" w:eastAsia="Calibri" w:hAnsi="Calibri"/>
          <w:sz w:val="22"/>
          <w:szCs w:val="22"/>
        </w:rPr>
        <w:t xml:space="preserve">Gefotografeerde of gedigitaliseerde wand van deel 15, als referentie (niet opnieuw op te hangen)</w:t>
      </w:r>
    </w:p>
    <w:p>
      <w:pPr>
        <w:pStyle w:val="ListParagraph"/>
        <w:numPr>
          <w:ilvl w:val="0"/>
          <w:numId w:val="1"/>
        </w:numPr>
        <w:spacing w:after="80"/>
      </w:pPr>
      <w:r>
        <w:rPr>
          <w:rFonts w:ascii="Calibri" w:cs="Calibri" w:eastAsia="Calibri" w:hAnsi="Calibri"/>
          <w:sz w:val="22"/>
          <w:szCs w:val="22"/>
        </w:rPr>
        <w:t xml:space="preserve">Werkboek deel 16, inclusief dossierstukken 16-A, 16-B en 16-C</w:t>
      </w:r>
    </w:p>
    <w:p>
      <w:pPr>
        <w:pStyle w:val="ListParagraph"/>
        <w:numPr>
          <w:ilvl w:val="0"/>
          <w:numId w:val="1"/>
        </w:numPr>
        <w:spacing w:after="80"/>
      </w:pPr>
      <w:r>
        <w:rPr>
          <w:rFonts w:ascii="Calibri" w:cs="Calibri" w:eastAsia="Calibri" w:hAnsi="Calibri"/>
          <w:sz w:val="22"/>
          <w:szCs w:val="22"/>
        </w:rPr>
        <w:t xml:space="preserve">Slidedeck deel 16</w:t>
      </w:r>
    </w:p>
    <w:p>
      <w:pPr>
        <w:pStyle w:val="ListParagraph"/>
        <w:numPr>
          <w:ilvl w:val="0"/>
          <w:numId w:val="1"/>
        </w:numPr>
        <w:spacing w:after="80"/>
      </w:pPr>
      <w:r>
        <w:rPr>
          <w:rFonts w:ascii="Calibri" w:cs="Calibri" w:eastAsia="Calibri" w:hAnsi="Calibri"/>
          <w:sz w:val="22"/>
          <w:szCs w:val="22"/>
        </w:rPr>
        <w:t xml:space="preserve">Memo's in vier kleuren voor procesmodellering (blauw, oranje, paars/lila, groen), losse kaartjes voor genummerde verhaalzinnen</w:t>
      </w:r>
    </w:p>
    <w:p>
      <w:pPr>
        <w:pStyle w:val="Heading2"/>
        <w:spacing w:after="120" w:before="200"/>
      </w:pPr>
      <w:r>
        <w:rPr>
          <w:rFonts w:ascii="Georgia" w:cs="Georgia" w:eastAsia="Georgia" w:hAnsi="Georgia"/>
          <w:b/>
          <w:bCs/>
          <w:color w:val="2C5AA0"/>
          <w:sz w:val="28"/>
          <w:szCs w:val="28"/>
        </w:rPr>
        <w:t xml:space="preserve">8. Aantekeningen voor de docent over de examenlijn en positionering</w:t>
      </w:r>
    </w:p>
    <w:p>
      <w:pPr>
        <w:pStyle w:val="ListParagraph"/>
        <w:numPr>
          <w:ilvl w:val="0"/>
          <w:numId w:val="1"/>
        </w:numPr>
        <w:spacing w:after="80"/>
      </w:pPr>
      <w:r>
        <w:rPr>
          <w:rFonts w:ascii="Calibri" w:cs="Calibri" w:eastAsia="Calibri" w:hAnsi="Calibri"/>
          <w:sz w:val="22"/>
          <w:szCs w:val="22"/>
        </w:rPr>
        <w:t xml:space="preserve">De iSAQB Advanced-module DDD noemt EventStorming op alle drie de niveaus (big picture, procesmodellering, ontwerp) expliciet als curriculumonderdeel, zonder een specifieke facilitatietechniek voor te schrijven. De vier bouwstenen (commando, event, beleidsregel, leesmodel) in dit deel zijn een eigen, Ductus-gemotiveerde uitwerking, geen letterlijke reproductie van één bepaalde bron.</w:t>
      </w:r>
    </w:p>
    <w:p>
      <w:pPr>
        <w:pStyle w:val="ListParagraph"/>
        <w:numPr>
          <w:ilvl w:val="0"/>
          <w:numId w:val="1"/>
        </w:numPr>
        <w:spacing w:after="80"/>
      </w:pPr>
      <w:r>
        <w:rPr>
          <w:rFonts w:ascii="Calibri" w:cs="Calibri" w:eastAsia="Calibri" w:hAnsi="Calibri"/>
          <w:sz w:val="22"/>
          <w:szCs w:val="22"/>
        </w:rPr>
        <w:t xml:space="preserve">Domain storytelling is in het officiële curriculum niet met naam genoemd, maar valt onder "de weg naar het model via samenwerking met domeinexperts" — dit deel positioneert het daarom expliciet als aanvullend instrument naast EventStorming, niet als vervanging. Vermeld dit kort aan deelnemers die zich afvragen waarom een niet-curriculumnaam hier wordt behandeld: het instrument dient het leerdoel (samenwerking met domeinexperts), ook als de moduleomschrijving het niet met naam noemt.</w:t>
      </w:r>
    </w:p>
    <w:p>
      <w:pPr>
        <w:pStyle w:val="ListParagraph"/>
        <w:numPr>
          <w:ilvl w:val="0"/>
          <w:numId w:val="1"/>
        </w:numPr>
        <w:spacing w:after="80"/>
      </w:pPr>
      <w:r>
        <w:rPr>
          <w:rFonts w:ascii="Calibri" w:cs="Calibri" w:eastAsia="Calibri" w:hAnsi="Calibri"/>
          <w:sz w:val="22"/>
          <w:szCs w:val="22"/>
        </w:rPr>
        <w:t xml:space="preserve">IP-let op: domain storytelling is ontwikkeld door Stefan Hofer en Henning Schwentner. Dit deel beschrijft de methode feitelijk (genummerde actor-activiteit-werkobject-zinnen, eigen pictogrammen) zonder een specifieke, uitgegeven iconenset of sjabloon na te bouwen — deelnemers kiezen bewust eigen, eenvoudige symbolen.</w:t>
      </w:r>
    </w:p>
    <w:p>
      <w:pPr>
        <w:pStyle w:val="ListParagraph"/>
        <w:numPr>
          <w:ilvl w:val="0"/>
          <w:numId w:val="1"/>
        </w:numPr>
        <w:spacing w:after="80"/>
      </w:pPr>
      <w:r>
        <w:rPr>
          <w:rFonts w:ascii="Calibri" w:cs="Calibri" w:eastAsia="Calibri" w:hAnsi="Calibri"/>
          <w:sz w:val="22"/>
          <w:szCs w:val="22"/>
        </w:rPr>
        <w:t xml:space="preserve">Bewaar de uitkomsten van dit deel (het uitgeschreven deeltijdwijzigingsproces, de processtroom van de scheidingsketen) voor gebruik in deel 17: de ondergrensregel en de detectievraag zijn de twee regels die daar met concrete voorbeelden worden getoetst.</w:t>
      </w:r>
    </w:p>
    <w:p>
      <w:pPr>
        <w:pStyle w:val="ListParagraph"/>
        <w:numPr>
          <w:ilvl w:val="0"/>
          <w:numId w:val="1"/>
        </w:numPr>
        <w:spacing w:after="80"/>
      </w:pPr>
      <w:r>
        <w:rPr>
          <w:rFonts w:ascii="Calibri" w:cs="Calibri" w:eastAsia="Calibri" w:hAnsi="Calibri"/>
          <w:sz w:val="22"/>
          <w:szCs w:val="22"/>
        </w:rPr>
        <w:t xml:space="preserve">Kondig aan het eind van dit deel expliciet aan dat deel 17 een ander soort scherpte introduceert: niet nog een procesmodel, maar concrete voorbeelden die een regel toetsen — zodat deelnemers het onderscheid tussen "een proces uitschrijven" en "een regel met een voorbeeld toetsen" scherp houden.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2026-08-16T19:18:43.328Z</dcterms:created>
  <dcterms:modified xsi:type="dcterms:W3CDTF">2026-08-16T19:18:43.328Z</dcterms:modified>
</cp:coreProperties>
</file>

<file path=docProps/custom.xml><?xml version="1.0" encoding="utf-8"?>
<Properties xmlns="http://schemas.openxmlformats.org/officeDocument/2006/custom-properties" xmlns:vt="http://schemas.openxmlformats.org/officeDocument/2006/docPropsVTypes"/>
</file>