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B2A4A" w:sz="12" w:space="4"/>
        </w:pBdr>
        <w:spacing w:after="160" w:before="240"/>
      </w:pPr>
      <w:r>
        <w:rPr>
          <w:rFonts w:ascii="Georgia" w:cs="Georgia" w:eastAsia="Georgia" w:hAnsi="Georgia"/>
          <w:b/>
          <w:bCs/>
          <w:color w:val="1B2A4A"/>
          <w:sz w:val="36"/>
          <w:szCs w:val="36"/>
        </w:rPr>
        <w:t xml:space="preserve">Deel 16 — EventStorming II: procesmodellering en ontwerpniveau; domain storytelling</w:t>
      </w:r>
    </w:p>
    <w:p>
      <w:pPr>
        <w:spacing w:after="140" w:line="300"/>
      </w:pPr>
      <w:r>
        <w:rPr>
          <w:rFonts w:ascii="Calibri" w:cs="Calibri" w:eastAsia="Calibri" w:hAnsi="Calibri"/>
          <w:b w:val="false"/>
          <w:bCs w:val="false"/>
          <w:i w:val="false"/>
          <w:iCs w:val="false"/>
          <w:sz w:val="22"/>
          <w:szCs w:val="22"/>
        </w:rPr>
        <w:t xml:space="preserve">Werkboek · Ductus-cursus Domain-Driven Design · niveau 2 · deel 16 van 30</w:t>
      </w:r>
    </w:p>
    <w:p>
      <w:pPr>
        <w:spacing w:after="140" w:line="300"/>
      </w:pPr>
      <w:r>
        <w:rPr>
          <w:rFonts w:ascii="Calibri" w:cs="Calibri" w:eastAsia="Calibri" w:hAnsi="Calibri"/>
          <w:b w:val="false"/>
          <w:bCs w:val="false"/>
          <w:i w:val="false"/>
          <w:iCs w:val="false"/>
          <w:sz w:val="22"/>
          <w:szCs w:val="22"/>
        </w:rPr>
        <w:t xml:space="preserve">Tien opdrachten. De eerste helft (1 t/m 5) werkt de deeltijdwijziging uit met procesmodellerings-EventStorming, de tweede helft (6 t/m 10) werkt de scheidingsketen uit met domain storytelling en de processtroom. De uitwerkingen staan achterin; werk een opdracht af voordat je die leest.</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Dossierstuk 16-A — De vier bouwstenen van procesmodellering</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rPr>
          <w:tblHeader/>
        </w:trPr>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Bouwsteen</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Kleur (conventie)</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Vraag die hij beantwoordt</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Commando</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blauw</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Wie of wat wil dat er iets gebeurt?</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Domain event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oranje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Wat is er, als feit, gebeurd?</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Beleidsregel (policy)</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paars/lila</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Welk event triggert automatisch welk volgend commando?</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Leesmodel (read model)</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groen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Welke informatie is nodig om een commando weloverwogen te geven?</w:t>
            </w:r>
          </w:p>
        </w:tc>
      </w:tr>
    </w:tbl>
    <w:p>
      <w:pPr>
        <w:pStyle w:val="Heading2"/>
        <w:spacing w:after="120" w:before="200"/>
      </w:pPr>
      <w:r>
        <w:rPr>
          <w:rFonts w:ascii="Georgia" w:cs="Georgia" w:eastAsia="Georgia" w:hAnsi="Georgia"/>
          <w:b/>
          <w:bCs/>
          <w:color w:val="2C5AA0"/>
          <w:sz w:val="28"/>
          <w:szCs w:val="28"/>
        </w:rPr>
        <w:t xml:space="preserve">Dossierstuk 16-B — Het deeltijdwijzigingsproces, zoals uitgeschreven in §16.4</w:t>
      </w:r>
    </w:p>
    <w:p>
      <w:pPr>
        <w:pStyle w:val="ListParagraph"/>
        <w:numPr>
          <w:ilvl w:val="0"/>
          <w:numId w:val="1"/>
        </w:numPr>
        <w:spacing w:after="80"/>
      </w:pPr>
      <w:r>
        <w:rPr>
          <w:rFonts w:ascii="Calibri" w:cs="Calibri" w:eastAsia="Calibri" w:hAnsi="Calibri"/>
          <w:sz w:val="22"/>
          <w:szCs w:val="22"/>
        </w:rPr>
        <w:t xml:space="preserve">Commando: "deeltijdwijziging doorgeven" (werkgever, via Werkgeversportaal)</w:t>
      </w:r>
    </w:p>
    <w:p>
      <w:pPr>
        <w:pStyle w:val="ListParagraph"/>
        <w:numPr>
          <w:ilvl w:val="0"/>
          <w:numId w:val="1"/>
        </w:numPr>
        <w:spacing w:after="80"/>
      </w:pPr>
      <w:r>
        <w:rPr>
          <w:rFonts w:ascii="Calibri" w:cs="Calibri" w:eastAsia="Calibri" w:hAnsi="Calibri"/>
          <w:sz w:val="22"/>
          <w:szCs w:val="22"/>
        </w:rPr>
        <w:t xml:space="preserve">Event: "deeltijdwijziging gemeld" (Werkgeversportaal) — altijd één gebeurtenis</w:t>
      </w:r>
    </w:p>
    <w:p>
      <w:pPr>
        <w:pStyle w:val="ListParagraph"/>
        <w:numPr>
          <w:ilvl w:val="0"/>
          <w:numId w:val="1"/>
        </w:numPr>
        <w:spacing w:after="80"/>
      </w:pPr>
      <w:r>
        <w:rPr>
          <w:rFonts w:ascii="Calibri" w:cs="Calibri" w:eastAsia="Calibri" w:hAnsi="Calibri"/>
          <w:sz w:val="22"/>
          <w:szCs w:val="22"/>
        </w:rPr>
        <w:t xml:space="preserve">Beleidsregel: bij "deeltijdwijziging gemeld" → commando "dienstverband bijwerken" aan KERN</w:t>
      </w:r>
    </w:p>
    <w:p>
      <w:pPr>
        <w:pStyle w:val="ListParagraph"/>
        <w:numPr>
          <w:ilvl w:val="0"/>
          <w:numId w:val="1"/>
        </w:numPr>
        <w:spacing w:after="80"/>
      </w:pPr>
      <w:r>
        <w:rPr>
          <w:rFonts w:ascii="Calibri" w:cs="Calibri" w:eastAsia="Calibri" w:hAnsi="Calibri"/>
          <w:sz w:val="22"/>
          <w:szCs w:val="22"/>
        </w:rPr>
        <w:t xml:space="preserve">Event: "dienstverband gewijzigd" (KERN) — nieuw percentage, doorlopende ingangsdatum</w:t>
      </w:r>
    </w:p>
    <w:p>
      <w:pPr>
        <w:pStyle w:val="ListParagraph"/>
        <w:numPr>
          <w:ilvl w:val="0"/>
          <w:numId w:val="1"/>
        </w:numPr>
        <w:spacing w:after="80"/>
      </w:pPr>
      <w:r>
        <w:rPr>
          <w:rFonts w:ascii="Calibri" w:cs="Calibri" w:eastAsia="Calibri" w:hAnsi="Calibri"/>
          <w:sz w:val="22"/>
          <w:szCs w:val="22"/>
        </w:rPr>
        <w:t xml:space="preserve">Beleidsregel: bij "dienstverband gewijzigd" → pensioenopbouw automatisch herberekend</w:t>
      </w:r>
    </w:p>
    <w:p>
      <w:pPr>
        <w:pStyle w:val="ListParagraph"/>
        <w:numPr>
          <w:ilvl w:val="0"/>
          <w:numId w:val="1"/>
        </w:numPr>
        <w:spacing w:after="80"/>
      </w:pPr>
      <w:r>
        <w:rPr>
          <w:rFonts w:ascii="Calibri" w:cs="Calibri" w:eastAsia="Calibri" w:hAnsi="Calibri"/>
          <w:sz w:val="22"/>
          <w:szCs w:val="22"/>
        </w:rPr>
        <w:t xml:space="preserve">Nieuwe hotspot: bij een percentage onder een ondergrens → handmatige bevestiging vereist vóór herberekening (regel niet bevestigd als bestaand)</w:t>
      </w:r>
    </w:p>
    <w:p>
      <w:pPr>
        <w:pStyle w:val="Heading2"/>
        <w:spacing w:after="120" w:before="200"/>
      </w:pPr>
      <w:r>
        <w:rPr>
          <w:rFonts w:ascii="Georgia" w:cs="Georgia" w:eastAsia="Georgia" w:hAnsi="Georgia"/>
          <w:b/>
          <w:bCs/>
          <w:color w:val="2C5AA0"/>
          <w:sz w:val="28"/>
          <w:szCs w:val="28"/>
        </w:rPr>
        <w:t xml:space="preserve">Dossierstuk 16-C — Drie scheidingsverhalen (samenvatting van §16.5)</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rPr>
          <w:tblHeader/>
        </w:trPr>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Verhaal</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Wie weet het eerst</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Route naar het Mutatieplatform</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 (Merel)</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Werkgeversportaal, via een adreswijziging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direct gemeld na handmatige ontdekking</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 (Willemijn)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KERN, via extern signaal</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gemeld na bevestiging door Nabestaandenzaken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3 (Daan)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niemand, aanvankelijk</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pas maanden later herkend, bij een waardeoverdrachtaanvraag</w:t>
            </w:r>
          </w:p>
        </w:tc>
      </w:tr>
    </w:tbl>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DEEL A — De deeltijdwijziging (procesmodellering)</w:t>
      </w:r>
    </w:p>
    <w:p>
      <w:pPr>
        <w:pStyle w:val="Heading2"/>
        <w:spacing w:after="120" w:before="200"/>
      </w:pPr>
      <w:r>
        <w:rPr>
          <w:rFonts w:ascii="Georgia" w:cs="Georgia" w:eastAsia="Georgia" w:hAnsi="Georgia"/>
          <w:b/>
          <w:bCs/>
          <w:color w:val="2C5AA0"/>
          <w:sz w:val="28"/>
          <w:szCs w:val="28"/>
        </w:rPr>
        <w:t xml:space="preserve">Opdracht 1 — De vraag herformuleren (15 min, plenair)</w:t>
      </w:r>
    </w:p>
    <w:p>
      <w:pPr>
        <w:spacing w:after="140" w:line="300"/>
      </w:pPr>
      <w:r>
        <w:rPr>
          <w:rFonts w:ascii="Calibri" w:cs="Calibri" w:eastAsia="Calibri" w:hAnsi="Calibri"/>
          <w:b w:val="false"/>
          <w:bCs w:val="false"/>
          <w:i w:val="false"/>
          <w:iCs w:val="false"/>
          <w:sz w:val="22"/>
          <w:szCs w:val="22"/>
        </w:rPr>
        <w:t xml:space="preserve">Reader §16.3 laat Foppe de vraag "is dit één gebeurtenis of twee" vervangen door "wat is het eerste commando, wie geeft het, en wat gebeurt daarna." Leg in eigen woorden uit waarom de eerste vraagstelling het team in deel 15 vastzette, en waarom de tweede dat niet doet.</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2 — Het proces zelf uitschrijven (25 min, groepjes van drie tot vier)</w:t>
      </w:r>
    </w:p>
    <w:p>
      <w:pPr>
        <w:spacing w:after="140" w:line="300"/>
      </w:pPr>
      <w:r>
        <w:rPr>
          <w:rFonts w:ascii="Calibri" w:cs="Calibri" w:eastAsia="Calibri" w:hAnsi="Calibri"/>
          <w:b w:val="false"/>
          <w:bCs w:val="false"/>
          <w:i w:val="false"/>
          <w:iCs w:val="false"/>
          <w:sz w:val="22"/>
          <w:szCs w:val="22"/>
        </w:rPr>
        <w:t xml:space="preserve">Gebruik dossierstuk 16-A en de vier bouwstenen. Schrijf, zonder eerst dossierstuk 16-B te bekijken, zelf het deeltijdwijzigingsproces uit vanaf het moment dat een werkgever een deeltijdwijziging doorgeeft, tot en met de herberekening van pensioenopbouw. Vergelijk daarna met dossierstuk 16-B: welke stap had jouw groep anders, en waarom kan dat verschil ontstaan (bijvoorbeeld: een aanname die het casusdossier niet expliciet maakt)?</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3 — De ondergrensregel als hotspot (15 min, tweetallen)</w:t>
      </w:r>
    </w:p>
    <w:p>
      <w:pPr>
        <w:spacing w:after="140" w:line="300"/>
      </w:pPr>
      <w:r>
        <w:rPr>
          <w:rFonts w:ascii="Calibri" w:cs="Calibri" w:eastAsia="Calibri" w:hAnsi="Calibri"/>
          <w:b w:val="false"/>
          <w:bCs w:val="false"/>
          <w:i w:val="false"/>
          <w:iCs w:val="false"/>
          <w:sz w:val="22"/>
          <w:szCs w:val="22"/>
        </w:rPr>
        <w:t xml:space="preserve">Reader §16.4 markeert de ondergrensregel (handmatige bevestiging bij een laag percentage) als nieuwe, onopgeloste hotspot. Bedenk twee mogelijke redenen waarom niemand in de sessie zeker wist of deze regel al bestond, en beargumenteer welke van de twee jij het waarschijnlijkst vindt in een landschap als dat van Meridiaan.</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4 — De voorlopige aggregaatgrens (20 min, groepjes van drie tot vier)</w:t>
      </w:r>
    </w:p>
    <w:p>
      <w:pPr>
        <w:spacing w:after="140" w:line="300"/>
      </w:pPr>
      <w:r>
        <w:rPr>
          <w:rFonts w:ascii="Calibri" w:cs="Calibri" w:eastAsia="Calibri" w:hAnsi="Calibri"/>
          <w:b w:val="false"/>
          <w:bCs w:val="false"/>
          <w:i w:val="false"/>
          <w:iCs w:val="false"/>
          <w:sz w:val="22"/>
          <w:szCs w:val="22"/>
        </w:rPr>
        <w:t xml:space="preserve">Reader §16.4 tekent een voorlopige aggregaatgrens rond het dienstverband binnen KERN. Bekijk niveau 1, deel 6 (aggregate als consistentiegrens) als achtergrond indien nodig, of gebruik je eigen kennis van het begrip. Beargumenteer: welke gegevens horen, op basis van dit proces, logischerwijs wél binnen deze grens, en welke (bijvoorbeeld de pensioenopbouwberekening zelf) logischerwijs niet? Je hoeft geen definitief oordeel te vellen — dat is werk voor deel 18 — een beargumenteerde eerste inschatting volstaat.</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5 — Vertelling versus model (15 min, plenair)</w:t>
      </w:r>
    </w:p>
    <w:p>
      <w:pPr>
        <w:spacing w:after="140" w:line="300"/>
      </w:pPr>
      <w:r>
        <w:rPr>
          <w:rFonts w:ascii="Calibri" w:cs="Calibri" w:eastAsia="Calibri" w:hAnsi="Calibri"/>
          <w:b w:val="false"/>
          <w:bCs w:val="false"/>
          <w:i w:val="false"/>
          <w:iCs w:val="false"/>
          <w:sz w:val="22"/>
          <w:szCs w:val="22"/>
        </w:rPr>
        <w:t xml:space="preserve">Reader §16.4 concludeert dat het Werkgeversportaal "intern met twee handelingen mag werken, zolang het naar buiten toe één commando met één betekenis aflevert." Bedenk, buiten het Meridiaan-landschap, een eigen voorbeeld (uit werk, een winkel, een overheidsloket, wat dan ook) van een proces dat door de ene partij als twee stappen wordt ervaren en door de ontvangende partij als één. Wat zou er misgaan als de ontvangende partij die twee stappen letterlijk als twee aparte gebeurtenissen zou registreren?</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DEEL B — De scheidingsketen (domain storytelling en de processtroom)</w:t>
      </w:r>
    </w:p>
    <w:p>
      <w:pPr>
        <w:pStyle w:val="Heading2"/>
        <w:spacing w:after="120" w:before="200"/>
      </w:pPr>
      <w:r>
        <w:rPr>
          <w:rFonts w:ascii="Georgia" w:cs="Georgia" w:eastAsia="Georgia" w:hAnsi="Georgia"/>
          <w:b/>
          <w:bCs/>
          <w:color w:val="2C5AA0"/>
          <w:sz w:val="28"/>
          <w:szCs w:val="28"/>
        </w:rPr>
        <w:t xml:space="preserve">Opdracht 6 — Een eigen verhaal navertellen (20 min, individueel, daarna gedeeld)</w:t>
      </w:r>
    </w:p>
    <w:p>
      <w:pPr>
        <w:spacing w:after="140" w:line="300"/>
      </w:pPr>
      <w:r>
        <w:rPr>
          <w:rFonts w:ascii="Calibri" w:cs="Calibri" w:eastAsia="Calibri" w:hAnsi="Calibri"/>
          <w:b w:val="false"/>
          <w:bCs w:val="false"/>
          <w:i w:val="false"/>
          <w:iCs w:val="false"/>
          <w:sz w:val="22"/>
          <w:szCs w:val="22"/>
        </w:rPr>
        <w:t xml:space="preserve">Kies één van de drie scheidingsverhalen uit dossierstuk 16-C. Schrijf het na in genummerde, pictografische zinnen zoals reader §16.5 dat doet voor Merels eerste voorbeeld (wie, doet wat, met welk werkobject, eventueel gericht aan wie). Gebruik minstens vier genummerde stappen. Deel je resultaat met een ander koppel dat hetzelfde verhaal koos: welke stappen kwamen overeen, welke niet?</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7 — Waarom niet meteen EventStorming? (15 min, plenair)</w:t>
      </w:r>
    </w:p>
    <w:p>
      <w:pPr>
        <w:spacing w:after="140" w:line="300"/>
      </w:pPr>
      <w:r>
        <w:rPr>
          <w:rFonts w:ascii="Calibri" w:cs="Calibri" w:eastAsia="Calibri" w:hAnsi="Calibri"/>
          <w:b w:val="false"/>
          <w:bCs w:val="false"/>
          <w:i w:val="false"/>
          <w:iCs w:val="false"/>
          <w:sz w:val="22"/>
          <w:szCs w:val="22"/>
        </w:rPr>
        <w:t xml:space="preserve">Reader §16.5 legt uit waarom het team bij de scheidingsketen vastliep met procesmodellerings-EventStorming, en overstapte op domain storytelling. Formuleer, in je eigen woorden, het onderliggende verschil tussen de twee instrumenten (reader, laatste alinea §16.5) en geef een tweede, zelfbedacht voorbeeld van een proces binnen het Meridiaan-landschap waarbij je domain storytelling zou verkiezen boven directe procesmodellering, met een argumentatie.</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8 — De verhalen vergelijken (25 min, groepjes van drie tot vier)</w:t>
      </w:r>
    </w:p>
    <w:p>
      <w:pPr>
        <w:spacing w:after="140" w:line="300"/>
      </w:pPr>
      <w:r>
        <w:rPr>
          <w:rFonts w:ascii="Calibri" w:cs="Calibri" w:eastAsia="Calibri" w:hAnsi="Calibri"/>
          <w:b w:val="false"/>
          <w:bCs w:val="false"/>
          <w:i w:val="false"/>
          <w:iCs w:val="false"/>
          <w:sz w:val="22"/>
          <w:szCs w:val="22"/>
        </w:rPr>
        <w:t xml:space="preserve">Gebruik dossierstuk 16-C en reader §16.6. Markeer voor de drie verhalen: waar wijken ze af (startpunt, actor, volgorde), en waar komen ze samen? Formuleer zelf, zonder eerst §16.6 te herlezen, de beleidsregel die de drie verhalen tot één gedeeld vervolg samenbrengt. Vergelijk daarna met de regel uit de reader.</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9 — De processtroom invullen (30 min, groepjes van drie tot vier)</w:t>
      </w:r>
    </w:p>
    <w:p>
      <w:pPr>
        <w:spacing w:after="140" w:line="300"/>
      </w:pPr>
      <w:r>
        <w:rPr>
          <w:rFonts w:ascii="Calibri" w:cs="Calibri" w:eastAsia="Calibri" w:hAnsi="Calibri"/>
          <w:b w:val="false"/>
          <w:bCs w:val="false"/>
          <w:i w:val="false"/>
          <w:iCs w:val="false"/>
          <w:sz w:val="22"/>
          <w:szCs w:val="22"/>
        </w:rPr>
        <w:t xml:space="preserve">Vul, met dossierstuk 16-C als uitgangsmateriaal, de vier stappen van de processtroom (reader §16.7) in voor de scheidingsketen: (1) de drie verhalen, (2) waar ze afwijken/samenkomen, (3) de vertaling naar commando/event/beleidsregel voor het gedeelde vervolgstuk, (4) een voorlopige aggregaatgrens plus resterende hotspots. Sluit af met het vijfde veld voor het punt waarop de drie verhalen samenkomen, en voor het derde verhaal (de laat herkende scheiding) afzonderlijk.</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10 — De detectievraag scherpstellen (15 min, plenair)</w:t>
      </w:r>
    </w:p>
    <w:p>
      <w:pPr>
        <w:spacing w:after="140" w:line="300"/>
      </w:pPr>
      <w:r>
        <w:rPr>
          <w:rFonts w:ascii="Calibri" w:cs="Calibri" w:eastAsia="Calibri" w:hAnsi="Calibri"/>
          <w:b w:val="false"/>
          <w:bCs w:val="false"/>
          <w:i w:val="false"/>
          <w:iCs w:val="false"/>
          <w:sz w:val="22"/>
          <w:szCs w:val="22"/>
        </w:rPr>
        <w:t xml:space="preserve">Reader §16.6 laat de vraag "wat zijn de vroege signalen van een scheiding die het landschap nu nog niet herkent als zodanig?" onopgelost, expliciet bewaard voor een later instrument. Bedenk zelf twee mogelijke vroege signalen (bijvoorbeeld gebaseerd op wat de drie verhalen uit dossierstuk 16-C al laten zien) die het waard zouden zijn om in deel 17 als concreet voorbeeld te toetsen.</w:t>
      </w:r>
    </w:p>
    <w:p>
      <w:pPr>
        <w:spacing w:after="140" w:line="300"/>
      </w:pPr>
      <w:r>
        <w:rPr>
          <w:rFonts w:ascii="Calibri" w:cs="Calibri" w:eastAsia="Calibri" w:hAnsi="Calibri"/>
          <w:sz w:val="22"/>
          <w:szCs w:val="22"/>
        </w:rPr>
        <w:t xml:space="preserve"/>
      </w:r>
    </w:p>
    <w:p>
      <w:pPr>
        <w:pStyle w:val="Heading1"/>
        <w:pBdr>
          <w:bottom w:val="single" w:color="1B2A4A" w:sz="12" w:space="4"/>
        </w:pBdr>
        <w:spacing w:after="160" w:before="240"/>
      </w:pPr>
      <w:r>
        <w:rPr>
          <w:rFonts w:ascii="Georgia" w:cs="Georgia" w:eastAsia="Georgia" w:hAnsi="Georgia"/>
          <w:b/>
          <w:bCs/>
          <w:color w:val="1B2A4A"/>
          <w:sz w:val="36"/>
          <w:szCs w:val="36"/>
        </w:rPr>
        <w:t xml:space="preserve">Uitwerkingen</w:t>
      </w:r>
    </w:p>
    <w:p>
      <w:pPr>
        <w:pStyle w:val="Heading2"/>
        <w:spacing w:after="120" w:before="200"/>
      </w:pPr>
      <w:r>
        <w:rPr>
          <w:rFonts w:ascii="Georgia" w:cs="Georgia" w:eastAsia="Georgia" w:hAnsi="Georgia"/>
          <w:b/>
          <w:bCs/>
          <w:color w:val="2C5AA0"/>
          <w:sz w:val="28"/>
          <w:szCs w:val="28"/>
        </w:rPr>
        <w:t xml:space="preserve">Uitwerking 1</w:t>
      </w:r>
    </w:p>
    <w:p>
      <w:pPr>
        <w:spacing w:after="140" w:line="300"/>
      </w:pPr>
      <w:r>
        <w:rPr>
          <w:rFonts w:ascii="Calibri" w:cs="Calibri" w:eastAsia="Calibri" w:hAnsi="Calibri"/>
          <w:b w:val="false"/>
          <w:bCs w:val="false"/>
          <w:i w:val="false"/>
          <w:iCs w:val="false"/>
          <w:sz w:val="22"/>
          <w:szCs w:val="22"/>
        </w:rPr>
        <w:t xml:space="preserve">De eerste vraagstelling ("één gebeurtenis of twee") veronderstelt dat er precies één juist antwoord bestaat voor het hele landschap, en dwingt Vera en Karsten daarmee in een tegenstelling waarin een van beiden ongelijk moet krijgen — terwijl beiden feitelijk correct beschrijven wat er in hun eigen systeem gebeurt. De tweede vraagstelling ("wat is het eerste commando, wie geeft het, wat gebeurt daarna") maakt geen aanname over een landschapsbreed antwoord; ze dwingt tot het stap voor stap volgen van het proces, waardoor vanzelf zichtbaar wordt dat het "verschil" niet in het feit zelf zat, maar in hoe verschillende contexten hetzelfde feit ontvangen en verwerken.</w:t>
      </w:r>
    </w:p>
    <w:p>
      <w:pPr>
        <w:pStyle w:val="Heading2"/>
        <w:spacing w:after="120" w:before="200"/>
      </w:pPr>
      <w:r>
        <w:rPr>
          <w:rFonts w:ascii="Georgia" w:cs="Georgia" w:eastAsia="Georgia" w:hAnsi="Georgia"/>
          <w:b/>
          <w:bCs/>
          <w:color w:val="2C5AA0"/>
          <w:sz w:val="28"/>
          <w:szCs w:val="28"/>
        </w:rPr>
        <w:t xml:space="preserve">Uitwerking 2</w:t>
      </w:r>
    </w:p>
    <w:p>
      <w:pPr>
        <w:spacing w:after="140" w:line="300"/>
      </w:pPr>
      <w:r>
        <w:rPr>
          <w:rFonts w:ascii="Calibri" w:cs="Calibri" w:eastAsia="Calibri" w:hAnsi="Calibri"/>
          <w:b w:val="false"/>
          <w:bCs w:val="false"/>
          <w:i w:val="false"/>
          <w:iCs w:val="false"/>
          <w:sz w:val="22"/>
          <w:szCs w:val="22"/>
        </w:rPr>
        <w:t xml:space="preserve">Geen vaste uitwerking. Veelvoorkomend verschil: groepen vergeten in eerste instantie het leesmodel (bijvoorbeeld: welke informatie een medewerker nodig heeft om de ondergrensregel te kunnen toepassen) of formuleren de beleidsregels als commando's in plaats van als automatische triggers. Vergelijk vooral of de rolverdeling tussen commando (initiatief van een actor) en beleidsregel (automatisch gevolg zonder nieuw extern initiatief) consequent is toegepast.</w:t>
      </w:r>
    </w:p>
    <w:p>
      <w:pPr>
        <w:pStyle w:val="Heading2"/>
        <w:spacing w:after="120" w:before="200"/>
      </w:pPr>
      <w:r>
        <w:rPr>
          <w:rFonts w:ascii="Georgia" w:cs="Georgia" w:eastAsia="Georgia" w:hAnsi="Georgia"/>
          <w:b/>
          <w:bCs/>
          <w:color w:val="2C5AA0"/>
          <w:sz w:val="28"/>
          <w:szCs w:val="28"/>
        </w:rPr>
        <w:t xml:space="preserve">Uitwerking 3</w:t>
      </w:r>
    </w:p>
    <w:p>
      <w:pPr>
        <w:spacing w:after="140" w:line="300"/>
      </w:pPr>
      <w:r>
        <w:rPr>
          <w:rFonts w:ascii="Calibri" w:cs="Calibri" w:eastAsia="Calibri" w:hAnsi="Calibri"/>
          <w:b w:val="false"/>
          <w:bCs w:val="false"/>
          <w:i w:val="false"/>
          <w:iCs w:val="false"/>
          <w:sz w:val="22"/>
          <w:szCs w:val="22"/>
        </w:rPr>
        <w:t xml:space="preserve">Twee mogelijke redenen: (1) de regel bestaat wel, maar is nooit expliciet vastgelegd buiten de hoofden van een paar ervaren KERN-medewerkers zoals Vera — precies het patroon dat het casusdossier (§2.1) al signaleert over KERN in het algemeen ("de kennis zit in code en in hoofden, niet in een gedeeld domeinmodel"); (2) de regel bestaat niet consistent, en verschillende medewerkers passen in de praktijk een andere ondergrens of een andere procedure toe. Optie (1) is in een landschap als dat van Meridiaan het waarschijnlijkst, gezien de expliciete beschrijving van KERN in het casusdossier — maar optie (2) kan niet worden uitgesloten zonder navraag, en dat is precies waarom de hotspot is doorgeschoven in plaats van aangenomen.</w:t>
      </w:r>
    </w:p>
    <w:p>
      <w:pPr>
        <w:pStyle w:val="Heading2"/>
        <w:spacing w:after="120" w:before="200"/>
      </w:pPr>
      <w:r>
        <w:rPr>
          <w:rFonts w:ascii="Georgia" w:cs="Georgia" w:eastAsia="Georgia" w:hAnsi="Georgia"/>
          <w:b/>
          <w:bCs/>
          <w:color w:val="2C5AA0"/>
          <w:sz w:val="28"/>
          <w:szCs w:val="28"/>
        </w:rPr>
        <w:t xml:space="preserve">Uitwerking 4</w:t>
      </w:r>
    </w:p>
    <w:p>
      <w:pPr>
        <w:spacing w:after="140" w:line="300"/>
      </w:pPr>
      <w:r>
        <w:rPr>
          <w:rFonts w:ascii="Calibri" w:cs="Calibri" w:eastAsia="Calibri" w:hAnsi="Calibri"/>
          <w:b w:val="false"/>
          <w:bCs w:val="false"/>
          <w:i w:val="false"/>
          <w:iCs w:val="false"/>
          <w:sz w:val="22"/>
          <w:szCs w:val="22"/>
        </w:rPr>
        <w:t xml:space="preserve">Een verdedigbare indeling: binnen de grens horen het percentage en de ingangsdatum van het dienstverband, en mogelijk de status "handmatig te bevestigen" zolang die nog niet is afgehandeld — dit zijn gegevens die in samenhang moeten kloppen (een percentagewijziging zonder geldige ingangsdatum is een ongeldige toestand). Buiten de grens hoort de daadwerkelijke herberekening van pensioenopbouw: die is een gevolg van de wijziging, met eigen regels en een eigen consistentie-eis, maar hoeft niet in dezelfde transactie of hetzelfde aggregaat te worden vastgehouden als de wijziging van het dienstverband zelf. Dit is precies het soort vraag dat deel 18 verder uitdiept.</w:t>
      </w:r>
    </w:p>
    <w:p>
      <w:pPr>
        <w:pStyle w:val="Heading2"/>
        <w:spacing w:after="120" w:before="200"/>
      </w:pPr>
      <w:r>
        <w:rPr>
          <w:rFonts w:ascii="Georgia" w:cs="Georgia" w:eastAsia="Georgia" w:hAnsi="Georgia"/>
          <w:b/>
          <w:bCs/>
          <w:color w:val="2C5AA0"/>
          <w:sz w:val="28"/>
          <w:szCs w:val="28"/>
        </w:rPr>
        <w:t xml:space="preserve">Uitwerking 5</w:t>
      </w:r>
    </w:p>
    <w:p>
      <w:pPr>
        <w:spacing w:after="140" w:line="300"/>
      </w:pPr>
      <w:r>
        <w:rPr>
          <w:rFonts w:ascii="Calibri" w:cs="Calibri" w:eastAsia="Calibri" w:hAnsi="Calibri"/>
          <w:b w:val="false"/>
          <w:bCs w:val="false"/>
          <w:i w:val="false"/>
          <w:iCs w:val="false"/>
          <w:sz w:val="22"/>
          <w:szCs w:val="22"/>
        </w:rPr>
        <w:t xml:space="preserve">Geen vaste uitwerking — een eigen voorbeeld volstaat. Een veelgebruikt type voorbeeld: bij een verhuizing meldt iemand vaak eerst het adres wijzigen en dan pas, als aparte handeling, een adreswijziging bij een specifiek account — de ontvangende partij ziet dat als één samenhangende "adreswijziging doorgevoerd", niet als twee losse gebeurtenissen. Zou de ontvangende partij ze wél als twee aparte gebeurtenissen registreren, dan ontstaat het risico dat tussentijds (tussen de twee registraties) een systeem een inconsistente of tegenstrijdige toestand toont — precies het risico dat KERN vermeed door de deeltijdwijziging als één, doorlopend event te modelleren.</w:t>
      </w:r>
    </w:p>
    <w:p>
      <w:pPr>
        <w:pStyle w:val="Heading2"/>
        <w:spacing w:after="120" w:before="200"/>
      </w:pPr>
      <w:r>
        <w:rPr>
          <w:rFonts w:ascii="Georgia" w:cs="Georgia" w:eastAsia="Georgia" w:hAnsi="Georgia"/>
          <w:b/>
          <w:bCs/>
          <w:color w:val="2C5AA0"/>
          <w:sz w:val="28"/>
          <w:szCs w:val="28"/>
        </w:rPr>
        <w:t xml:space="preserve">Uitwerking 6</w:t>
      </w:r>
    </w:p>
    <w:p>
      <w:pPr>
        <w:spacing w:after="140" w:line="300"/>
      </w:pPr>
      <w:r>
        <w:rPr>
          <w:rFonts w:ascii="Calibri" w:cs="Calibri" w:eastAsia="Calibri" w:hAnsi="Calibri"/>
          <w:b w:val="false"/>
          <w:bCs w:val="false"/>
          <w:i w:val="false"/>
          <w:iCs w:val="false"/>
          <w:sz w:val="22"/>
          <w:szCs w:val="22"/>
        </w:rPr>
        <w:t xml:space="preserve">Geen vaste uitwerking — dit is een oefening in de vorm zelf. Let bij het vergelijken op: is elke zin genummerd, bevat elke zin een actor, een activiteit en een werkobject, en blijft de concrete situatie (wie, precies) intact in plaats van geabstraheerd tot een generieke rol. Een veelgemaakte fout is het schrijven van commando's in plaats van vertelde zinnen (bijvoorbeeld "scheiding wordt geregistreerd" in plaats van "de medewerker registreert de scheiding als aparte mutatie").</w:t>
      </w:r>
    </w:p>
    <w:p>
      <w:pPr>
        <w:pStyle w:val="Heading2"/>
        <w:spacing w:after="120" w:before="200"/>
      </w:pPr>
      <w:r>
        <w:rPr>
          <w:rFonts w:ascii="Georgia" w:cs="Georgia" w:eastAsia="Georgia" w:hAnsi="Georgia"/>
          <w:b/>
          <w:bCs/>
          <w:color w:val="2C5AA0"/>
          <w:sz w:val="28"/>
          <w:szCs w:val="28"/>
        </w:rPr>
        <w:t xml:space="preserve">Uitwerking 7</w:t>
      </w:r>
    </w:p>
    <w:p>
      <w:pPr>
        <w:spacing w:after="140" w:line="300"/>
      </w:pPr>
      <w:r>
        <w:rPr>
          <w:rFonts w:ascii="Calibri" w:cs="Calibri" w:eastAsia="Calibri" w:hAnsi="Calibri"/>
          <w:b w:val="false"/>
          <w:bCs w:val="false"/>
          <w:i w:val="false"/>
          <w:iCs w:val="false"/>
          <w:sz w:val="22"/>
          <w:szCs w:val="22"/>
        </w:rPr>
        <w:t xml:space="preserve">Het onderliggende verschil: EventStorming abstraheert bewust — het maakt niet uit wíe precies het commando geeft, zolang de rol (actor) duidelijk is, omdat het doel is een herbruikbaar, generiek model te bouwen. Domain storytelling houdt de concrete situatie juist vast, omdat het doel is te begrijpen hóe een proces in de praktijk daadwerkelijk verloopt, inclusief de omwegen en verschillen die pas zichtbaar worden als je niet abstraheert. Een tweede voorbeeld binnen het Meridiaan-landschap waarbij domain storytelling de voorkeur zou verdienen: een klacht die bij Compliance en Klachten binnenkomt kan via meerdere, sterk uiteenlopende kanalen ontstaan (telefonisch, via een brief, via een escalatie vanuit het Werkgeversportaal) — precies het soort meerpadige, mensafhankelijke proces waarbij navertelde, concrete voorbeelden meer opleveren dan een direct geabstraheerd procesmodel.</w:t>
      </w:r>
    </w:p>
    <w:p>
      <w:pPr>
        <w:pStyle w:val="Heading2"/>
        <w:spacing w:after="120" w:before="200"/>
      </w:pPr>
      <w:r>
        <w:rPr>
          <w:rFonts w:ascii="Georgia" w:cs="Georgia" w:eastAsia="Georgia" w:hAnsi="Georgia"/>
          <w:b/>
          <w:bCs/>
          <w:color w:val="2C5AA0"/>
          <w:sz w:val="28"/>
          <w:szCs w:val="28"/>
        </w:rPr>
        <w:t xml:space="preserve">Uitwerking 8</w:t>
      </w:r>
    </w:p>
    <w:p>
      <w:pPr>
        <w:spacing w:after="140" w:line="300"/>
      </w:pPr>
      <w:r>
        <w:rPr>
          <w:rFonts w:ascii="Calibri" w:cs="Calibri" w:eastAsia="Calibri" w:hAnsi="Calibri"/>
          <w:b w:val="false"/>
          <w:bCs w:val="false"/>
          <w:i w:val="false"/>
          <w:iCs w:val="false"/>
          <w:sz w:val="22"/>
          <w:szCs w:val="22"/>
        </w:rPr>
        <w:t xml:space="preserve">Afwijking: startpunt (Werkgeversportaal, KERN, of aanvankelijk niemand), actor die het eerst signaleert, en het aantal tussenstappen vóór de scheiding als zodanig wordt vastgesteld. Samenkomst: alle drie de verhalen resulteren, zodra de scheiding is vastgesteld, in dezelfde vervolgstappen (melding aan het Mutatieplatform, doorzetten naar KERN, herberekening). De beleidsregel die dat samenbrengt: "zodra een scheiding is vastgesteld — via welke route dan ook — meldt de vaststellende context het commando 'scheiding registreren' aan het Mutatieplatform." Overeenkomst met de reader bevestigt het kernpunt: het proces heeft meerdere ingangen maar één gedeeld vervolg.</w:t>
      </w:r>
    </w:p>
    <w:p>
      <w:pPr>
        <w:pStyle w:val="Heading2"/>
        <w:spacing w:after="120" w:before="200"/>
      </w:pPr>
      <w:r>
        <w:rPr>
          <w:rFonts w:ascii="Georgia" w:cs="Georgia" w:eastAsia="Georgia" w:hAnsi="Georgia"/>
          <w:b/>
          <w:bCs/>
          <w:color w:val="2C5AA0"/>
          <w:sz w:val="28"/>
          <w:szCs w:val="28"/>
        </w:rPr>
        <w:t xml:space="preserve">Uitwerking 9</w:t>
      </w:r>
    </w:p>
    <w:p>
      <w:pPr>
        <w:spacing w:after="140" w:line="300"/>
      </w:pPr>
      <w:r>
        <w:rPr>
          <w:rFonts w:ascii="Calibri" w:cs="Calibri" w:eastAsia="Calibri" w:hAnsi="Calibri"/>
          <w:b w:val="false"/>
          <w:bCs w:val="false"/>
          <w:i w:val="false"/>
          <w:iCs w:val="false"/>
          <w:sz w:val="22"/>
          <w:szCs w:val="22"/>
        </w:rPr>
        <w:t xml:space="preserve">Een voorbeelduitwerking:</w:t>
      </w:r>
    </w:p>
    <w:p>
      <w:pPr>
        <w:pStyle w:val="ListParagraph"/>
        <w:numPr>
          <w:ilvl w:val="0"/>
          <w:numId w:val="1"/>
        </w:numPr>
        <w:spacing w:after="80"/>
      </w:pPr>
      <w:r>
        <w:rPr>
          <w:rFonts w:ascii="Calibri" w:cs="Calibri" w:eastAsia="Calibri" w:hAnsi="Calibri"/>
          <w:sz w:val="22"/>
          <w:szCs w:val="22"/>
        </w:rPr>
        <w:t xml:space="preserve">**Verhalen:** de drie uit dossierstuk 16-C.</w:t>
      </w:r>
    </w:p>
    <w:p>
      <w:pPr>
        <w:pStyle w:val="ListParagraph"/>
        <w:numPr>
          <w:ilvl w:val="0"/>
          <w:numId w:val="1"/>
        </w:numPr>
        <w:spacing w:after="80"/>
      </w:pPr>
      <w:r>
        <w:rPr>
          <w:rFonts w:ascii="Calibri" w:cs="Calibri" w:eastAsia="Calibri" w:hAnsi="Calibri"/>
          <w:sz w:val="22"/>
          <w:szCs w:val="22"/>
        </w:rPr>
        <w:t xml:space="preserve">**Vergelijking:** afwijkend zijn startpunt en aantal tussenstappen; samenkomend is het punt "scheiding vastgesteld."</w:t>
      </w:r>
    </w:p>
    <w:p>
      <w:pPr>
        <w:pStyle w:val="ListParagraph"/>
        <w:numPr>
          <w:ilvl w:val="0"/>
          <w:numId w:val="1"/>
        </w:numPr>
        <w:spacing w:after="80"/>
      </w:pPr>
      <w:r>
        <w:rPr>
          <w:rFonts w:ascii="Calibri" w:cs="Calibri" w:eastAsia="Calibri" w:hAnsi="Calibri"/>
          <w:sz w:val="22"/>
          <w:szCs w:val="22"/>
        </w:rPr>
        <w:t xml:space="preserve">**Vertaling:** commando "scheiding registreren" (gegeven door de vaststellende context) → event "scheiding geregistreerd" (Mutatieplatform) → beleidsregel: bij dit event → commando "dienstverband bijwerken" (KERN) én commando "partnerstatus controleren" (Nabestaandenloket, indien een lopende vaststelling bestaat) → events "scheiding verwerkt" (KERN) en "partnerstatus bijgewerkt" (Nabestaandenloket, waar relevant).</w:t>
      </w:r>
    </w:p>
    <w:p>
      <w:pPr>
        <w:pStyle w:val="ListParagraph"/>
        <w:numPr>
          <w:ilvl w:val="0"/>
          <w:numId w:val="1"/>
        </w:numPr>
        <w:spacing w:after="80"/>
      </w:pPr>
      <w:r>
        <w:rPr>
          <w:rFonts w:ascii="Calibri" w:cs="Calibri" w:eastAsia="Calibri" w:hAnsi="Calibri"/>
          <w:sz w:val="22"/>
          <w:szCs w:val="22"/>
        </w:rPr>
        <w:t xml:space="preserve">**Voorlopige grens:** de scheidingsregistratie zelf (wie, wanneer, via welke route vastgesteld) als eigen, klein aggregaat binnen het Mutatieplatform, los van de gevolgen ervan bij KERN en het Nabestaandenloket — precies om dezelfde reden als bij opdracht 4: registratie en gevolg hoeven niet dezelfde consistentiegrens te delen.
Vijfde veld op het samenkomstpunt: dit is een punt waar het model het verschil niet hoeft vast te houden — alle drie de routes leveren hetzelfde commando op. Vijfde veld op het derde verhaal: dit ís een verschil dat het model (voorlopig) niet dekt — er bestaat nog geen commando of event dat de late herkenning zelf vastlegt, wat de kern is van de hotspot in opdracht 10.</w:t>
      </w:r>
    </w:p>
    <w:p>
      <w:pPr>
        <w:pStyle w:val="Heading2"/>
        <w:spacing w:after="120" w:before="200"/>
      </w:pPr>
      <w:r>
        <w:rPr>
          <w:rFonts w:ascii="Georgia" w:cs="Georgia" w:eastAsia="Georgia" w:hAnsi="Georgia"/>
          <w:b/>
          <w:bCs/>
          <w:color w:val="2C5AA0"/>
          <w:sz w:val="28"/>
          <w:szCs w:val="28"/>
        </w:rPr>
        <w:t xml:space="preserve">Uitwerking 10</w:t>
      </w:r>
    </w:p>
    <w:p>
      <w:pPr>
        <w:spacing w:after="140" w:line="300"/>
      </w:pPr>
      <w:r>
        <w:rPr>
          <w:rFonts w:ascii="Calibri" w:cs="Calibri" w:eastAsia="Calibri" w:hAnsi="Calibri"/>
          <w:b w:val="false"/>
          <w:bCs w:val="false"/>
          <w:i w:val="false"/>
          <w:iCs w:val="false"/>
          <w:sz w:val="22"/>
          <w:szCs w:val="22"/>
        </w:rPr>
        <w:t xml:space="preserve">Twee mogelijke vroege signalen: (1) een adreswijziging van de partner als nevenpersoon zonder gelijktijdige adreswijziging van de deelnemer zelf (zoals in het derde verhaal, waar dit destijds niet werd herkend); (2) een wijziging in de tenaamstelling van een bankrekening of begunstigde die bij een aanvraag wordt doorgegeven, zonder dat er een expliciete scheidingsmelding bij hoort. Beide zijn plausibele signalen die op zichzelf niet doorslaggevend zijn — precies het soort regel dat in deel 17 met concrete voorbeelden getoetst kan worden op wanneer hij wél en wanneer hij níet klopt.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Domain-Driven Design · Niveau 2 · Deel 16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2026-08-16T19:18:43.302Z</dcterms:created>
  <dcterms:modified xsi:type="dcterms:W3CDTF">2026-08-16T19:18:43.302Z</dcterms:modified>
</cp:coreProperties>
</file>

<file path=docProps/custom.xml><?xml version="1.0" encoding="utf-8"?>
<Properties xmlns="http://schemas.openxmlformats.org/officeDocument/2006/custom-properties" xmlns:vt="http://schemas.openxmlformats.org/officeDocument/2006/docPropsVTypes"/>
</file>