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17 — Example mapping en specification by example</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17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17 sluit het drieluik EventStorming/domain storytelling/example mapping af dat met deel 15 begon. Het bouwt direct voort op de twee regels die deel 16 opleverde (de ondergrensregel bij de deeltijdwijziging, de detectievraag bij de scheidingsketen) — begin dit deel dus pas nadat deel 16 is afgerond. Anders dan deel 15 en 16, die vooral divergeren (breder kijken, meer perspectieven verzamelen), convergeert dit deel: het doel is niet meer materiaal, maar scherpte op precies twee, al bekende regels.</w:t>
      </w:r>
    </w:p>
    <w:p>
      <w:pPr>
        <w:spacing w:after="140" w:line="300"/>
      </w:pPr>
      <w:r>
        <w:rPr>
          <w:rFonts w:ascii="Calibri" w:cs="Calibri" w:eastAsia="Calibri" w:hAnsi="Calibri"/>
          <w:b w:val="false"/>
          <w:bCs w:val="false"/>
          <w:i w:val="false"/>
          <w:iCs w:val="false"/>
          <w:sz w:val="22"/>
          <w:szCs w:val="22"/>
        </w:rPr>
        <w:t xml:space="preserve">Bewaak in dit deel nadrukkelijk het verschil tussen de vier kaarttypen (geel, blauw, groen, rood) — dat onderscheid is de kern van wat example mapping onderscheidt van een gewoon requirements-gesprek. Een groep die alles door elkaar op één blaadje schrijft, heeft de werkvorm niet toegepast, ook al zijn de inhoudelijke vragen misschien wel gesteld.</w:t>
      </w:r>
    </w:p>
    <w:p>
      <w:pPr>
        <w:pStyle w:val="ListParagraph"/>
        <w:numPr>
          <w:ilvl w:val="0"/>
          <w:numId w:val="1"/>
        </w:numPr>
        <w:spacing w:after="80"/>
      </w:pPr>
      <w:r>
        <w:rPr>
          <w:rFonts w:ascii="Calibri" w:cs="Calibri" w:eastAsia="Calibri" w:hAnsi="Calibri"/>
          <w:sz w:val="22"/>
          <w:szCs w:val="22"/>
        </w:rPr>
        <w:t xml:space="preserve">**Module-onderdeel:** dit deel valt onder "de weg naar het model via samenwerking met domeinexperts" uit de iSAQB Advanced-module DDD; example mapping en specification by example zijn niet met naam in het curriculum genoemd, maar behoren tot de gangbare, breed erkende samenwerkingsvormen binnen DDD-praktijk (net als domain storytelling in deel 16). Behandel deel 17 daarom als verdiepend, niet als examenkern — zie ook §7.</w:t>
      </w:r>
    </w:p>
    <w:p>
      <w:pPr>
        <w:pStyle w:val="ListParagraph"/>
        <w:numPr>
          <w:ilvl w:val="0"/>
          <w:numId w:val="1"/>
        </w:numPr>
        <w:spacing w:after="80"/>
      </w:pPr>
      <w:r>
        <w:rPr>
          <w:rFonts w:ascii="Calibri" w:cs="Calibri" w:eastAsia="Calibri" w:hAnsi="Calibri"/>
          <w:sz w:val="22"/>
          <w:szCs w:val="22"/>
        </w:rPr>
        <w:t xml:space="preserve">**Werkvorm:** de voorbeeldkaart.</w:t>
      </w:r>
    </w:p>
    <w:p>
      <w:pPr>
        <w:pStyle w:val="ListParagraph"/>
        <w:numPr>
          <w:ilvl w:val="0"/>
          <w:numId w:val="1"/>
        </w:numPr>
        <w:spacing w:after="80"/>
      </w:pPr>
      <w:r>
        <w:rPr>
          <w:rFonts w:ascii="Calibri" w:cs="Calibri" w:eastAsia="Calibri" w:hAnsi="Calibri"/>
          <w:sz w:val="22"/>
          <w:szCs w:val="22"/>
        </w:rPr>
        <w:t xml:space="preserve">**Duur:** één dagdeel (circa 3,5 uur inclusief pauze).</w:t>
      </w:r>
    </w:p>
    <w:p>
      <w:pPr>
        <w:pStyle w:val="ListParagraph"/>
        <w:numPr>
          <w:ilvl w:val="0"/>
          <w:numId w:val="1"/>
        </w:numPr>
        <w:spacing w:after="80"/>
      </w:pPr>
      <w:r>
        <w:rPr>
          <w:rFonts w:ascii="Calibri" w:cs="Calibri" w:eastAsia="Calibri" w:hAnsi="Calibri"/>
          <w:sz w:val="22"/>
          <w:szCs w:val="22"/>
        </w:rPr>
        <w:t xml:space="preserve">**Voorbereiding deelnemers:** deel 16 afgerond, met kennis van de ondergrensregel en de detectievraag als startmateriaal.</w:t>
      </w:r>
    </w:p>
    <w:p>
      <w:pPr>
        <w:pStyle w:val="ListParagraph"/>
        <w:numPr>
          <w:ilvl w:val="0"/>
          <w:numId w:val="1"/>
        </w:numPr>
        <w:spacing w:after="80"/>
      </w:pPr>
      <w:r>
        <w:rPr>
          <w:rFonts w:ascii="Calibri" w:cs="Calibri" w:eastAsia="Calibri" w:hAnsi="Calibri"/>
          <w:sz w:val="22"/>
          <w:szCs w:val="22"/>
        </w:rPr>
        <w:t xml:space="preserve">**Materiaal vooraf regelen:** kaartjes of memo's in vier kleuren (geel, blauw, groen, rood) per groepje, ruimte om per groepje een eigen "bord" op te bouwen (whiteboard, flip-over, of een digitaal bord met vier kolommen).</w:t>
      </w:r>
    </w:p>
    <w:p>
      <w:pPr>
        <w:pStyle w:val="Heading2"/>
        <w:spacing w:after="120" w:before="200"/>
      </w:pPr>
      <w:r>
        <w:rPr>
          <w:rFonts w:ascii="Georgia" w:cs="Georgia" w:eastAsia="Georgia" w:hAnsi="Georgia"/>
          <w:b/>
          <w:bCs/>
          <w:color w:val="2C5AA0"/>
          <w:sz w:val="28"/>
          <w:szCs w:val="28"/>
        </w:rPr>
        <w:t xml:space="preserve">2. Tijdschema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16: de twee regels, aankondiging van dit 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Casus: Foppe introduceert example mapping (reader §17.2)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kaarttypen uitgelegd (§17.3)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het onderscheid tussen kaarttypen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zelf voorbeelden verzinnen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een rode kaart formuleren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de blauwe kaart en zijn gevolg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het vijfde veld toepassen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Wanneer een gele kaart eigenlijk twee regels is (§17.5)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en 7 — de gesplitste gele kaart, een derde signaal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Specification by example uitgelegd (§17.6) + opdracht 9</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Vera's observatie en de vooruitblik (§17.7) + opdracht 10</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18</w:t>
            </w:r>
          </w:p>
        </w:tc>
      </w:tr>
    </w:tbl>
    <w:p>
      <w:pPr>
        <w:spacing w:after="140" w:line="300"/>
      </w:pPr>
      <w:r>
        <w:rPr>
          <w:rFonts w:ascii="Calibri" w:cs="Calibri" w:eastAsia="Calibri" w:hAnsi="Calibri"/>
          <w:b w:val="false"/>
          <w:bCs w:val="false"/>
          <w:i w:val="false"/>
          <w:iCs w:val="false"/>
          <w:sz w:val="22"/>
          <w:szCs w:val="22"/>
        </w:rPr>
        <w:t xml:space="preserve">Loop je uit in het ochtenddeel (ondergrensregel), dan is opdracht 3 de eerste kandidaat om te verkorten tot een plenaire bespreking zonder eigen herformulering per tweetal. Schrap nooit opdracht 2 of 5: dit is waar deelnemers zelf de kaarttypen leren toepassen én het vijfde veld leren gebruiken om overtollige voorbeelden te herkennen. Loop je uit in het middagdeel, dan kan opdracht 8 vervallen (deze herhaalt, in andere vorm, wat opdracht 3 al oefende). Schrap nooit opdracht 6: het splitsen van een te brede gele kaart is een van de belangrijkste, meest onderschatte vaardigheden van dit instrument.</w:t>
      </w:r>
    </w:p>
    <w:p>
      <w:pPr>
        <w:pStyle w:val="Heading2"/>
        <w:spacing w:after="120" w:before="200"/>
      </w:pPr>
      <w:r>
        <w:rPr>
          <w:rFonts w:ascii="Georgia" w:cs="Georgia" w:eastAsia="Georgia" w:hAnsi="Georgia"/>
          <w:b/>
          <w:bCs/>
          <w:color w:val="2C5AA0"/>
          <w:sz w:val="28"/>
          <w:szCs w:val="28"/>
        </w:rPr>
        <w:t xml:space="preserve">3. Didactische aanwijzingen</w:t>
      </w:r>
    </w:p>
    <w:p>
      <w:pPr>
        <w:spacing w:after="140" w:line="300"/>
      </w:pPr>
      <w:r>
        <w:rPr>
          <w:rFonts w:ascii="Calibri" w:cs="Calibri" w:eastAsia="Calibri" w:hAnsi="Calibri"/>
          <w:b/>
          <w:bCs/>
          <w:i w:val="false"/>
          <w:iCs w:val="false"/>
          <w:sz w:val="22"/>
          <w:szCs w:val="22"/>
        </w:rPr>
        <w:t xml:space="preserve">De vier kaarttypen uitgelegd (0:25-0:40).</w:t>
      </w:r>
      <w:r>
        <w:rPr>
          <w:rFonts w:ascii="Calibri" w:cs="Calibri" w:eastAsia="Calibri" w:hAnsi="Calibri"/>
          <w:b w:val="false"/>
          <w:bCs w:val="false"/>
          <w:i w:val="false"/>
          <w:iCs w:val="false"/>
          <w:sz w:val="22"/>
          <w:szCs w:val="22"/>
        </w:rPr>
        <w:t xml:space="preserve"> Gebruik een niet-Meridiaan-voorbeeld (zoals in uitwerking 1 van het werkboek) om de vier kleuren voor het eerst te introduceren, vóórdat je ze op de ondergrensregel loslaat — dit voorkomt dat deelnemers de vorm en de inhoud (de specifieke pensioenregel) door elkaar leren. Een goede controlevraag: "Wat is het verschil tussen een blauwe en een groene kaart?" (antwoord: blauw is een regel — iets dat voor een hele categorie geldt; groen is één concreet geval).</w:t>
      </w:r>
    </w:p>
    <w:p>
      <w:pPr>
        <w:spacing w:after="140" w:line="300"/>
      </w:pPr>
      <w:r>
        <w:rPr>
          <w:rFonts w:ascii="Calibri" w:cs="Calibri" w:eastAsia="Calibri" w:hAnsi="Calibri"/>
          <w:b/>
          <w:bCs/>
          <w:i w:val="false"/>
          <w:iCs w:val="false"/>
          <w:sz w:val="22"/>
          <w:szCs w:val="22"/>
        </w:rPr>
        <w:t xml:space="preserve">Opdracht 2 (zelf voorbeelden verzinnen).</w:t>
      </w:r>
      <w:r>
        <w:rPr>
          <w:rFonts w:ascii="Calibri" w:cs="Calibri" w:eastAsia="Calibri" w:hAnsi="Calibri"/>
          <w:b w:val="false"/>
          <w:bCs w:val="false"/>
          <w:i w:val="false"/>
          <w:iCs w:val="false"/>
          <w:sz w:val="22"/>
          <w:szCs w:val="22"/>
        </w:rPr>
        <w:t xml:space="preserve"> Laat groepen hier echt eerst zelf werken vóór ze dossierstuk 17-B bekijken. De waarde zit in het zelf ervaren dat een "duidelijk" grensgeval (zoals 8 naar 4 uur) meteen een onbeantwoorde vraag oproept — dat is precies wat het instrument moet laten zien, en het landt sterker als deelnemers het zelf tegenkomen dan wanneer ze het alleen lezen.</w:t>
      </w:r>
    </w:p>
    <w:p>
      <w:pPr>
        <w:spacing w:after="140" w:line="300"/>
      </w:pPr>
      <w:r>
        <w:rPr>
          <w:rFonts w:ascii="Calibri" w:cs="Calibri" w:eastAsia="Calibri" w:hAnsi="Calibri"/>
          <w:b/>
          <w:bCs/>
          <w:i w:val="false"/>
          <w:iCs w:val="false"/>
          <w:sz w:val="22"/>
          <w:szCs w:val="22"/>
        </w:rPr>
        <w:t xml:space="preserve">Opdracht 3 (een rode kaart formuleren).</w:t>
      </w:r>
      <w:r>
        <w:rPr>
          <w:rFonts w:ascii="Calibri" w:cs="Calibri" w:eastAsia="Calibri" w:hAnsi="Calibri"/>
          <w:b w:val="false"/>
          <w:bCs w:val="false"/>
          <w:i w:val="false"/>
          <w:iCs w:val="false"/>
          <w:sz w:val="22"/>
          <w:szCs w:val="22"/>
        </w:rPr>
        <w:t xml:space="preserve"> Let erop dat deelnemers het onderscheid tussen "te hypothetisch voor een groene kaart" en "een geldig grensgeval" goed begrijpen — dit is een subtiel punt. Een veelgemaakte fout is een voorbeeld afwijzen als "te hypothetisch" terwijl het eigenlijk gewoon een concreet, geldig grensgeval is dat nog geen antwoord heeft; het criterium is niet "is dit zeldzaam", maar "bevat dit concrete, toetsbare waarden".</w:t>
      </w:r>
    </w:p>
    <w:p>
      <w:pPr>
        <w:spacing w:after="140" w:line="300"/>
      </w:pPr>
      <w:r>
        <w:rPr>
          <w:rFonts w:ascii="Calibri" w:cs="Calibri" w:eastAsia="Calibri" w:hAnsi="Calibri"/>
          <w:b/>
          <w:bCs/>
          <w:i w:val="false"/>
          <w:iCs w:val="false"/>
          <w:sz w:val="22"/>
          <w:szCs w:val="22"/>
        </w:rPr>
        <w:t xml:space="preserve">Wanneer een gele kaart eigenlijk twee regels is (2:20-2:35).</w:t>
      </w:r>
      <w:r>
        <w:rPr>
          <w:rFonts w:ascii="Calibri" w:cs="Calibri" w:eastAsia="Calibri" w:hAnsi="Calibri"/>
          <w:b w:val="false"/>
          <w:bCs w:val="false"/>
          <w:i w:val="false"/>
          <w:iCs w:val="false"/>
          <w:sz w:val="22"/>
          <w:szCs w:val="22"/>
        </w:rPr>
        <w:t xml:space="preserve"> Dit is het meest onderscheidende inzicht van dit deel en verdient expliciete aandacht: leg uit dat het criterium voor splitsen niet is "twee verschillende voorbeelden", maar "twee verschillende soorten vervolgstap of gevolg". Twee voorbeelden die alleen in getallen verschillen (zoals 32→6 en 8→4 uur bij de ondergrensregel) horen bij elkaar; twee voorbeelden die een fundamenteel andere afhandeling vragen (zoals bij de detectieregel) horen gesplitst.</w:t>
      </w:r>
    </w:p>
    <w:p>
      <w:pPr>
        <w:spacing w:after="140" w:line="300"/>
      </w:pPr>
      <w:r>
        <w:rPr>
          <w:rFonts w:ascii="Calibri" w:cs="Calibri" w:eastAsia="Calibri" w:hAnsi="Calibri"/>
          <w:b/>
          <w:bCs/>
          <w:i w:val="false"/>
          <w:iCs w:val="false"/>
          <w:sz w:val="22"/>
          <w:szCs w:val="22"/>
        </w:rPr>
        <w:t xml:space="preserve">Specification by example uitgelegd (2:50-3:05).</w:t>
      </w:r>
      <w:r>
        <w:rPr>
          <w:rFonts w:ascii="Calibri" w:cs="Calibri" w:eastAsia="Calibri" w:hAnsi="Calibri"/>
          <w:b w:val="false"/>
          <w:bCs w:val="false"/>
          <w:i w:val="false"/>
          <w:iCs w:val="false"/>
          <w:sz w:val="22"/>
          <w:szCs w:val="22"/>
        </w:rPr>
        <w:t xml:space="preserve"> Wees hier expliciet terughoudend met het introduceren van een specifiek testgereedschap of een specifieke schrijfconventie voor voorbeelden — de driedeling (uitgangssituatie, gebeurtenis, resultaat) uit reader §17.6 wordt bewust generiek gepresenteerd, zonder koppeling aan een specifiek framework. Dit sluit aan bij de toolneutrale opzet van de cursus: de Toolbijlage bevat eventuele klikpaden naar specifieke gereedschappen, dit deel niet.</w:t>
      </w:r>
    </w:p>
    <w:p>
      <w:pPr>
        <w:spacing w:after="140" w:line="300"/>
      </w:pPr>
      <w:r>
        <w:rPr>
          <w:rFonts w:ascii="Calibri" w:cs="Calibri" w:eastAsia="Calibri" w:hAnsi="Calibri"/>
          <w:b/>
          <w:bCs/>
          <w:i w:val="false"/>
          <w:iCs w:val="false"/>
          <w:sz w:val="22"/>
          <w:szCs w:val="22"/>
        </w:rPr>
        <w:t xml:space="preserve">Vera's observatie (3:05-3:20).</w:t>
      </w:r>
      <w:r>
        <w:rPr>
          <w:rFonts w:ascii="Calibri" w:cs="Calibri" w:eastAsia="Calibri" w:hAnsi="Calibri"/>
          <w:b w:val="false"/>
          <w:bCs w:val="false"/>
          <w:i w:val="false"/>
          <w:iCs w:val="false"/>
          <w:sz w:val="22"/>
          <w:szCs w:val="22"/>
        </w:rPr>
        <w:t xml:space="preserve"> Behandel dit als een vooruitblik, niet als een inhoudelijke opdracht om nu al op te lossen. Het doel is dat deelnemers het type inzicht herkennen (een concreet voorbeeld legt een grensvraag bloot die een abstracte regel niet blootlegt), niet dat ze een antwoord op de aggregaatgrensvraag produceren — dat is uitdrukkelijk werk voor deel 18.</w:t>
      </w:r>
    </w:p>
    <w:p>
      <w:pPr>
        <w:pStyle w:val="Heading2"/>
        <w:spacing w:after="120" w:before="200"/>
      </w:pPr>
      <w:r>
        <w:rPr>
          <w:rFonts w:ascii="Georgia" w:cs="Georgia" w:eastAsia="Georgia" w:hAnsi="Georgia"/>
          <w:b/>
          <w:bCs/>
          <w:color w:val="2C5AA0"/>
          <w:sz w:val="28"/>
          <w:szCs w:val="28"/>
        </w:rPr>
        <w:t xml:space="preserve">4.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Alle kaarttypen komen op één kleur of één lijst terecht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onderscheid tussen regel/aanvulling/voorbeeld/vraag is niet scherp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Wijs terug naar dossierstuk 17-A, laat opnieuw indelen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voorbeeld blijft vaag ("een lage wijziging")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een categorie te beschrijven in plaats van een geval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 getal, precies?"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rode kaart wordt tijdens het gesprek stilzwijgend "opgelost" met een aanname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Ongemak met een openstaande vraag, net als bij hotspots in deel 15/16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"is dit een echt antwoord, of een gok die we nu even nodig hebben?"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gele kaart met duidelijk verschillende soorten vervolgstap blijft ongesplitst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splitsingscriterium (§17.5) is nog niet herkend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"vraagt elk voorbeeld hier om dezelfde actie erna?"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produceert veel groene kaarten die feitelijk hetzelfde illustreren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vijfde veld wordt niet actief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Laat, per kaart, hardop het vijfde veld beantwoorden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10 levert een pasklare oplossing voor de aggregaatgrens op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Vooruitlopen op deel 18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het gaat om het signaal herkennen, niet om het beantwoorden</w:t>
            </w:r>
          </w:p>
        </w:tc>
      </w:tr>
    </w:tbl>
    <w:p>
      <w:pPr>
        <w:pStyle w:val="Heading2"/>
        <w:spacing w:after="120" w:before="200"/>
      </w:pPr>
      <w:r>
        <w:rPr>
          <w:rFonts w:ascii="Georgia" w:cs="Georgia" w:eastAsia="Georgia" w:hAnsi="Georgia"/>
          <w:b/>
          <w:bCs/>
          <w:color w:val="2C5AA0"/>
          <w:sz w:val="28"/>
          <w:szCs w:val="28"/>
        </w:rPr>
        <w:t xml:space="preserve">5. Beoordeling</w:t>
      </w:r>
    </w:p>
    <w:p>
      <w:pPr>
        <w:spacing w:after="140" w:line="300"/>
      </w:pPr>
      <w:r>
        <w:rPr>
          <w:rFonts w:ascii="Calibri" w:cs="Calibri" w:eastAsia="Calibri" w:hAnsi="Calibri"/>
          <w:b w:val="false"/>
          <w:bCs w:val="false"/>
          <w:i w:val="false"/>
          <w:iCs w:val="false"/>
          <w:sz w:val="22"/>
          <w:szCs w:val="22"/>
        </w:rPr>
        <w:t xml:space="preserve">Deel 17 wordt niet becijferd. Houd bij of elke groep in opdracht 2 zelfstandig tot minstens drie onderscheiden groene kaarten en minstens één rode kaart komt, met kaarten die functioneel verschillend zijn (niet drie varianten van hetzelfde). Houd voor opdracht 6 bij of de argumentatie voor splitsen (of juist niet-splitsen) het juiste criterium gebruikt: verschil in vervolgstap, niet verschil in getallen. Noteer per groep: voldoet / voldoet met hulp / voldoet niet.</w:t>
      </w:r>
    </w:p>
    <w:p>
      <w:pPr>
        <w:pStyle w:val="Heading2"/>
        <w:spacing w:after="120" w:before="200"/>
      </w:pPr>
      <w:r>
        <w:rPr>
          <w:rFonts w:ascii="Georgia" w:cs="Georgia" w:eastAsia="Georgia" w:hAnsi="Georgia"/>
          <w:b/>
          <w:bCs/>
          <w:color w:val="2C5AA0"/>
          <w:sz w:val="28"/>
          <w:szCs w:val="28"/>
        </w:rPr>
        <w:t xml:space="preserve">6. Materiaal</w:t>
      </w:r>
    </w:p>
    <w:p>
      <w:pPr>
        <w:pStyle w:val="ListParagraph"/>
        <w:numPr>
          <w:ilvl w:val="0"/>
          <w:numId w:val="1"/>
        </w:numPr>
        <w:spacing w:after="80"/>
      </w:pPr>
      <w:r>
        <w:rPr>
          <w:rFonts w:ascii="Calibri" w:cs="Calibri" w:eastAsia="Calibri" w:hAnsi="Calibri"/>
          <w:sz w:val="22"/>
          <w:szCs w:val="22"/>
        </w:rPr>
        <w:t xml:space="preserve">Casusdossier niveau 2 (§2, §5)</w:t>
      </w:r>
    </w:p>
    <w:p>
      <w:pPr>
        <w:pStyle w:val="ListParagraph"/>
        <w:numPr>
          <w:ilvl w:val="0"/>
          <w:numId w:val="1"/>
        </w:numPr>
        <w:spacing w:after="80"/>
      </w:pPr>
      <w:r>
        <w:rPr>
          <w:rFonts w:ascii="Calibri" w:cs="Calibri" w:eastAsia="Calibri" w:hAnsi="Calibri"/>
          <w:sz w:val="22"/>
          <w:szCs w:val="22"/>
        </w:rPr>
        <w:t xml:space="preserve">Uitkomsten van deel 16 (het uitgeschreven deeltijdwijzigingsproces, de processtroom van de scheidingsketen), als startmateriaal</w:t>
      </w:r>
    </w:p>
    <w:p>
      <w:pPr>
        <w:pStyle w:val="ListParagraph"/>
        <w:numPr>
          <w:ilvl w:val="0"/>
          <w:numId w:val="1"/>
        </w:numPr>
        <w:spacing w:after="80"/>
      </w:pPr>
      <w:r>
        <w:rPr>
          <w:rFonts w:ascii="Calibri" w:cs="Calibri" w:eastAsia="Calibri" w:hAnsi="Calibri"/>
          <w:sz w:val="22"/>
          <w:szCs w:val="22"/>
        </w:rPr>
        <w:t xml:space="preserve">Werkboek deel 17, inclusief dossierstukken 17-A, 17-B en 17-C</w:t>
      </w:r>
    </w:p>
    <w:p>
      <w:pPr>
        <w:pStyle w:val="ListParagraph"/>
        <w:numPr>
          <w:ilvl w:val="0"/>
          <w:numId w:val="1"/>
        </w:numPr>
        <w:spacing w:after="80"/>
      </w:pPr>
      <w:r>
        <w:rPr>
          <w:rFonts w:ascii="Calibri" w:cs="Calibri" w:eastAsia="Calibri" w:hAnsi="Calibri"/>
          <w:sz w:val="22"/>
          <w:szCs w:val="22"/>
        </w:rPr>
        <w:t xml:space="preserve">Slidedeck deel 17</w:t>
      </w:r>
    </w:p>
    <w:p>
      <w:pPr>
        <w:pStyle w:val="ListParagraph"/>
        <w:numPr>
          <w:ilvl w:val="0"/>
          <w:numId w:val="1"/>
        </w:numPr>
        <w:spacing w:after="80"/>
      </w:pPr>
      <w:r>
        <w:rPr>
          <w:rFonts w:ascii="Calibri" w:cs="Calibri" w:eastAsia="Calibri" w:hAnsi="Calibri"/>
          <w:sz w:val="22"/>
          <w:szCs w:val="22"/>
        </w:rPr>
        <w:t xml:space="preserve">Kaartjes of memo's in vier kleuren (geel, blauw, groen, rood)</w:t>
      </w:r>
    </w:p>
    <w:p>
      <w:pPr>
        <w:pStyle w:val="Heading2"/>
        <w:spacing w:after="120" w:before="200"/>
      </w:pPr>
      <w:r>
        <w:rPr>
          <w:rFonts w:ascii="Georgia" w:cs="Georgia" w:eastAsia="Georgia" w:hAnsi="Georgia"/>
          <w:b/>
          <w:bCs/>
          <w:color w:val="2C5AA0"/>
          <w:sz w:val="28"/>
          <w:szCs w:val="28"/>
        </w:rPr>
        <w:t xml:space="preserve">7. Aantekeningen voor de docent over de examenlijn en positionering</w:t>
      </w:r>
    </w:p>
    <w:p>
      <w:pPr>
        <w:pStyle w:val="ListParagraph"/>
        <w:numPr>
          <w:ilvl w:val="0"/>
          <w:numId w:val="1"/>
        </w:numPr>
        <w:spacing w:after="80"/>
      </w:pPr>
      <w:r>
        <w:rPr>
          <w:rFonts w:ascii="Calibri" w:cs="Calibri" w:eastAsia="Calibri" w:hAnsi="Calibri"/>
          <w:sz w:val="22"/>
          <w:szCs w:val="22"/>
        </w:rPr>
        <w:t xml:space="preserve">Example mapping (Matt Wynne) en specification by example zijn geen letterlijk curriculumonderdeel van de iSAQB Advanced-module DDD, maar sluiten aan bij het bredere curriculumthema "de weg naar het model via samenwerking met domeinexperts". Positioneer dit deel voor deelnemers expliciet als verdiepend en praktijkgericht, niet als kern van de module-toets in deel 22 — vergelijkbaar met hoe domain storytelling in deel 16 is gepositioneerd.</w:t>
      </w:r>
    </w:p>
    <w:p>
      <w:pPr>
        <w:pStyle w:val="ListParagraph"/>
        <w:numPr>
          <w:ilvl w:val="0"/>
          <w:numId w:val="1"/>
        </w:numPr>
        <w:spacing w:after="80"/>
      </w:pPr>
      <w:r>
        <w:rPr>
          <w:rFonts w:ascii="Calibri" w:cs="Calibri" w:eastAsia="Calibri" w:hAnsi="Calibri"/>
          <w:sz w:val="22"/>
          <w:szCs w:val="22"/>
        </w:rPr>
        <w:t xml:space="preserve">IP-let op: example mapping is ontwikkeld door Matt Wynne. Dit deel beschrijft de vier kaarttypen en hun functie feitelijk, in eigen formulering en met een eigen casus, zonder een specifiek, uitgegeven sjabloon, gereedschap of merknaam over te nemen. De driedeling "uitgangssituatie, gebeurtenis, resultaat" in §17.6 wordt bewust als generieke, geen aan een specifiek framework gebonden structuur gepresenteerd.</w:t>
      </w:r>
    </w:p>
    <w:p>
      <w:pPr>
        <w:pStyle w:val="ListParagraph"/>
        <w:numPr>
          <w:ilvl w:val="0"/>
          <w:numId w:val="1"/>
        </w:numPr>
        <w:spacing w:after="80"/>
      </w:pPr>
      <w:r>
        <w:rPr>
          <w:rFonts w:ascii="Calibri" w:cs="Calibri" w:eastAsia="Calibri" w:hAnsi="Calibri"/>
          <w:sz w:val="22"/>
          <w:szCs w:val="22"/>
        </w:rPr>
        <w:t xml:space="preserve">Bewaar de twee voorbeeldkaarten uit dit deel (ondergrensregel, detectieregel) voor gebruik in deel 18: Vera's observatie in §17.7 is het startpunt van de aggregaatgrenzendiscussie daar.</w:t>
      </w:r>
    </w:p>
    <w:p>
      <w:pPr>
        <w:pStyle w:val="ListParagraph"/>
        <w:numPr>
          <w:ilvl w:val="0"/>
          <w:numId w:val="1"/>
        </w:numPr>
        <w:spacing w:after="80"/>
      </w:pPr>
      <w:r>
        <w:rPr>
          <w:rFonts w:ascii="Calibri" w:cs="Calibri" w:eastAsia="Calibri" w:hAnsi="Calibri"/>
          <w:sz w:val="22"/>
          <w:szCs w:val="22"/>
        </w:rPr>
        <w:t xml:space="preserve">Kondig aan het eind van dit deel expliciet aan dat deel 18 een andere invalshoek gebruikt: niet meer één regel scherp krijgen, maar de consistentiegrenzen van het hele, inmiddels door meerdere teams gebouwde Mutatieplatform herzien — met de signalen uit dit deel en deel 16 als startmateriaal, niet als afgeronde conclusies.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2026-08-16T19:18:45.399Z</dcterms:created>
  <dcterms:modified xsi:type="dcterms:W3CDTF">2026-08-16T19:18:45.399Z</dcterms:modified>
</cp:coreProperties>
</file>

<file path=docProps/custom.xml><?xml version="1.0" encoding="utf-8"?>
<Properties xmlns="http://schemas.openxmlformats.org/officeDocument/2006/custom-properties" xmlns:vt="http://schemas.openxmlformats.org/officeDocument/2006/docPropsVTypes"/>
</file>