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17 — Example mapping en specification by example</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17 van 30</w:t>
      </w:r>
    </w:p>
    <w:p>
      <w:pPr>
        <w:spacing w:after="140" w:line="300"/>
      </w:pPr>
      <w:r>
        <w:rPr>
          <w:rFonts w:ascii="Calibri" w:cs="Calibri" w:eastAsia="Calibri" w:hAnsi="Calibri"/>
          <w:b w:val="false"/>
          <w:bCs w:val="false"/>
          <w:i w:val="false"/>
          <w:iCs w:val="false"/>
          <w:sz w:val="22"/>
          <w:szCs w:val="22"/>
        </w:rPr>
        <w:t xml:space="preserve">Tien opdrachten. De eerste helft (1 t/m 5) werkt de ondergrensregel uit met example mapping, de tweede helft (6 t/m 10) werkt de detectieregel uit en behandelt specification by example en de voorbeeldkaart in bredere zin.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17-A — De vier kaarttypen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Kaart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Kleur</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Story/regel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regel die wordt uitgediept, in één zin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Aanvullende regel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blauw</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randvoorwaarde of precisering, ontstaan tijdens het gesprek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Voorbeeld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concreet geval met concrete waarden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Openstaande vraag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rood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vraag die niemand aan tafel kan beantwoorden</w:t>
            </w:r>
          </w:p>
        </w:tc>
      </w:tr>
    </w:tbl>
    <w:p>
      <w:pPr>
        <w:pStyle w:val="Heading2"/>
        <w:spacing w:after="120" w:before="200"/>
      </w:pPr>
      <w:r>
        <w:rPr>
          <w:rFonts w:ascii="Georgia" w:cs="Georgia" w:eastAsia="Georgia" w:hAnsi="Georgia"/>
          <w:b/>
          <w:bCs/>
          <w:color w:val="2C5AA0"/>
          <w:sz w:val="28"/>
          <w:szCs w:val="28"/>
        </w:rPr>
        <w:t xml:space="preserve">Dossierstuk 17-B — Het bord na de ondergrensregel-sessie (§17.4)</w:t>
      </w:r>
    </w:p>
    <w:p>
      <w:pPr>
        <w:pStyle w:val="ListParagraph"/>
        <w:numPr>
          <w:ilvl w:val="0"/>
          <w:numId w:val="1"/>
        </w:numPr>
        <w:spacing w:after="80"/>
      </w:pPr>
      <w:r>
        <w:rPr>
          <w:rFonts w:ascii="Calibri" w:cs="Calibri" w:eastAsia="Calibri" w:hAnsi="Calibri"/>
          <w:sz w:val="22"/>
          <w:szCs w:val="22"/>
        </w:rPr>
        <w:t xml:space="preserve">**Geel:** bij een percentage onder de ondergrens moet een medewerker de wijziging handmatig bevestigen</w:t>
      </w:r>
    </w:p>
    <w:p>
      <w:pPr>
        <w:pStyle w:val="ListParagraph"/>
        <w:numPr>
          <w:ilvl w:val="0"/>
          <w:numId w:val="1"/>
        </w:numPr>
        <w:spacing w:after="80"/>
      </w:pPr>
      <w:r>
        <w:rPr>
          <w:rFonts w:ascii="Calibri" w:cs="Calibri" w:eastAsia="Calibri" w:hAnsi="Calibri"/>
          <w:sz w:val="22"/>
          <w:szCs w:val="22"/>
        </w:rPr>
        <w:t xml:space="preserve">**Blauw:** een tijdelijke wijziging met een vooraf vastgestelde einddatum volgt een lichtere regel — geen handmatige bevestiging, wel automatische controle bij terugkeer</w:t>
      </w:r>
    </w:p>
    <w:p>
      <w:pPr>
        <w:pStyle w:val="ListParagraph"/>
        <w:numPr>
          <w:ilvl w:val="0"/>
          <w:numId w:val="1"/>
        </w:numPr>
        <w:spacing w:after="80"/>
      </w:pPr>
      <w:r>
        <w:rPr>
          <w:rFonts w:ascii="Calibri" w:cs="Calibri" w:eastAsia="Calibri" w:hAnsi="Calibri"/>
          <w:sz w:val="22"/>
          <w:szCs w:val="22"/>
        </w:rPr>
        <w:t xml:space="preserve">**Groen 1:** 32 uur → 6 uur (17%) — handmatige bevestiging vereist</w:t>
      </w:r>
    </w:p>
    <w:p>
      <w:pPr>
        <w:pStyle w:val="ListParagraph"/>
        <w:numPr>
          <w:ilvl w:val="0"/>
          <w:numId w:val="1"/>
        </w:numPr>
        <w:spacing w:after="80"/>
      </w:pPr>
      <w:r>
        <w:rPr>
          <w:rFonts w:ascii="Calibri" w:cs="Calibri" w:eastAsia="Calibri" w:hAnsi="Calibri"/>
          <w:sz w:val="22"/>
          <w:szCs w:val="22"/>
        </w:rPr>
        <w:t xml:space="preserve">**Groen 2:** 8 uur → 4 uur — te wegen zonder referentiepunt</w:t>
      </w:r>
    </w:p>
    <w:p>
      <w:pPr>
        <w:pStyle w:val="ListParagraph"/>
        <w:numPr>
          <w:ilvl w:val="0"/>
          <w:numId w:val="1"/>
        </w:numPr>
        <w:spacing w:after="80"/>
      </w:pPr>
      <w:r>
        <w:rPr>
          <w:rFonts w:ascii="Calibri" w:cs="Calibri" w:eastAsia="Calibri" w:hAnsi="Calibri"/>
          <w:sz w:val="22"/>
          <w:szCs w:val="22"/>
        </w:rPr>
        <w:t xml:space="preserve">**Rood 1:** is de ondergrens een percentage van een fulltime werkweek, of een absoluut aantal uren?</w:t>
      </w:r>
    </w:p>
    <w:p>
      <w:pPr>
        <w:pStyle w:val="ListParagraph"/>
        <w:numPr>
          <w:ilvl w:val="0"/>
          <w:numId w:val="1"/>
        </w:numPr>
        <w:spacing w:after="80"/>
      </w:pPr>
      <w:r>
        <w:rPr>
          <w:rFonts w:ascii="Calibri" w:cs="Calibri" w:eastAsia="Calibri" w:hAnsi="Calibri"/>
          <w:sz w:val="22"/>
          <w:szCs w:val="22"/>
        </w:rPr>
        <w:t xml:space="preserve">**Rood 2:** geldt de ondergrens voor het eindresultaat, of voor de omvang van elke afzonderlijke wijziging — en wat bij een reeks kleine wijzigingen?</w:t>
      </w:r>
    </w:p>
    <w:p>
      <w:pPr>
        <w:pStyle w:val="Heading2"/>
        <w:spacing w:after="120" w:before="200"/>
      </w:pPr>
      <w:r>
        <w:rPr>
          <w:rFonts w:ascii="Georgia" w:cs="Georgia" w:eastAsia="Georgia" w:hAnsi="Georgia"/>
          <w:b/>
          <w:bCs/>
          <w:color w:val="2C5AA0"/>
          <w:sz w:val="28"/>
          <w:szCs w:val="28"/>
        </w:rPr>
        <w:t xml:space="preserve">Dossierstuk 17-C — Het bord na de detectieregel-sessie (§17.5)</w:t>
      </w:r>
    </w:p>
    <w:p>
      <w:pPr>
        <w:pStyle w:val="ListParagraph"/>
        <w:numPr>
          <w:ilvl w:val="0"/>
          <w:numId w:val="1"/>
        </w:numPr>
        <w:spacing w:after="80"/>
      </w:pPr>
      <w:r>
        <w:rPr>
          <w:rFonts w:ascii="Calibri" w:cs="Calibri" w:eastAsia="Calibri" w:hAnsi="Calibri"/>
          <w:sz w:val="22"/>
          <w:szCs w:val="22"/>
        </w:rPr>
        <w:t xml:space="preserve">**Geel 1 (gesplitst):** een signaal dat op zichzelf al reden is voor gerichte navraag — groen: adreswijziging van een partner als nevenpersoon</w:t>
      </w:r>
    </w:p>
    <w:p>
      <w:pPr>
        <w:pStyle w:val="ListParagraph"/>
        <w:numPr>
          <w:ilvl w:val="0"/>
          <w:numId w:val="1"/>
        </w:numPr>
        <w:spacing w:after="80"/>
      </w:pPr>
      <w:r>
        <w:rPr>
          <w:rFonts w:ascii="Calibri" w:cs="Calibri" w:eastAsia="Calibri" w:hAnsi="Calibri"/>
          <w:sz w:val="22"/>
          <w:szCs w:val="22"/>
        </w:rPr>
        <w:t xml:space="preserve">**Geel 2 (gesplitst):** een signaal dat wordt meegenomen in een reeds lopend proces — groen: wijziging van een begunstigde bij een uitkeringsaanvraag</w:t>
      </w:r>
    </w:p>
    <w:p>
      <w:pPr>
        <w:pStyle w:val="ListParagraph"/>
        <w:numPr>
          <w:ilvl w:val="0"/>
          <w:numId w:val="1"/>
        </w:numPr>
        <w:spacing w:after="80"/>
      </w:pPr>
      <w:r>
        <w:rPr>
          <w:rFonts w:ascii="Calibri" w:cs="Calibri" w:eastAsia="Calibri" w:hAnsi="Calibri"/>
          <w:sz w:val="22"/>
          <w:szCs w:val="22"/>
        </w:rPr>
        <w:t xml:space="preserve">**Blauw (voorheen rood):** de context die het signaal ontving voert de navraag uit, met een terugmeldplicht aan het Mutatieplatform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DEEL A — De ondergrensregel</w:t>
      </w:r>
    </w:p>
    <w:p>
      <w:pPr>
        <w:pStyle w:val="Heading2"/>
        <w:spacing w:after="120" w:before="200"/>
      </w:pPr>
      <w:r>
        <w:rPr>
          <w:rFonts w:ascii="Georgia" w:cs="Georgia" w:eastAsia="Georgia" w:hAnsi="Georgia"/>
          <w:b/>
          <w:bCs/>
          <w:color w:val="2C5AA0"/>
          <w:sz w:val="28"/>
          <w:szCs w:val="28"/>
        </w:rPr>
        <w:t xml:space="preserve">Opdracht 1 — Het onderscheid tussen kaarttypen (10 min, plenair)</w:t>
      </w:r>
    </w:p>
    <w:p>
      <w:pPr>
        <w:spacing w:after="140" w:line="300"/>
      </w:pPr>
      <w:r>
        <w:rPr>
          <w:rFonts w:ascii="Calibri" w:cs="Calibri" w:eastAsia="Calibri" w:hAnsi="Calibri"/>
          <w:b w:val="false"/>
          <w:bCs w:val="false"/>
          <w:i w:val="false"/>
          <w:iCs w:val="false"/>
          <w:sz w:val="22"/>
          <w:szCs w:val="22"/>
        </w:rPr>
        <w:t xml:space="preserve">Bekijk dossierstuk 17-A. Bedenk voor elk van de vier kaarttypen een eigen, kort voorbeeld — niet uit het Meridiaan-landschap, maar uit een alledaagse regel (bijvoorbeeld een regel over gratis verzending bij een webshop, of een regel over een studiekorting). Laat zien dat je het verschil tussen een regel, een aanvullende regel, een voorbeeld en een vraag begrijpt.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Zelf voorbeelden verzinnen vóór je het bord bekijkt (20 min, groepjes van drie tot vier)</w:t>
      </w:r>
    </w:p>
    <w:p>
      <w:pPr>
        <w:spacing w:after="140" w:line="300"/>
      </w:pPr>
      <w:r>
        <w:rPr>
          <w:rFonts w:ascii="Calibri" w:cs="Calibri" w:eastAsia="Calibri" w:hAnsi="Calibri"/>
          <w:b w:val="false"/>
          <w:bCs w:val="false"/>
          <w:i w:val="false"/>
          <w:iCs w:val="false"/>
          <w:sz w:val="22"/>
          <w:szCs w:val="22"/>
        </w:rPr>
        <w:t xml:space="preserve">Lees alleen de gele kaart uit dossierstuk 17-B ("bij een percentage onder de ondergrens..."). Bedenk, zonder eerst het volledige bord te bekijken, drie eigen concrete voorbeelden: één dat overduidelijk binnen de regel valt, één dat overduidelijk erbuiten valt, en één grensgeval. Vergelijk daarna met dossierstuk 17-B: welke vragen die daar als rode kaart staan, kwamen ook in jouw gesprek naar boven?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Een rode kaart formuleren (15 min, tweetallen)</w:t>
      </w:r>
    </w:p>
    <w:p>
      <w:pPr>
        <w:spacing w:after="140" w:line="300"/>
      </w:pPr>
      <w:r>
        <w:rPr>
          <w:rFonts w:ascii="Calibri" w:cs="Calibri" w:eastAsia="Calibri" w:hAnsi="Calibri"/>
          <w:b w:val="false"/>
          <w:bCs w:val="false"/>
          <w:i w:val="false"/>
          <w:iCs w:val="false"/>
          <w:sz w:val="22"/>
          <w:szCs w:val="22"/>
        </w:rPr>
        <w:t xml:space="preserve">Reader §17.4 laat zien dat Otto's derde geval (40 → 36 uur, in twee stappen naar 15 uur) geen groene kaart oplevert omdat het "te hypothetisch" is om als concreet voorbeeld te tellen, maar wel een rode kaart oplevert. Leg uit, in eigen woorden, waarom een te hypothetisch geval geen goede groene kaart is, en herformuleer Otto's geval tot een concreet genoeg voorbeeld dat wél als groene kaart zou kunnen dienen (kies zelf getallen en een tijdlijn).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De blauwe kaart en zijn gevolg (20 min, groepjes van drie tot vier)</w:t>
      </w:r>
    </w:p>
    <w:p>
      <w:pPr>
        <w:spacing w:after="140" w:line="300"/>
      </w:pPr>
      <w:r>
        <w:rPr>
          <w:rFonts w:ascii="Calibri" w:cs="Calibri" w:eastAsia="Calibri" w:hAnsi="Calibri"/>
          <w:b w:val="false"/>
          <w:bCs w:val="false"/>
          <w:i w:val="false"/>
          <w:iCs w:val="false"/>
          <w:sz w:val="22"/>
          <w:szCs w:val="22"/>
        </w:rPr>
        <w:t xml:space="preserve">Reader §17.4 introduceert een blauwe kaart over tijdelijke wijzigingen met een vooraf vastgestelde einddatum. Bedenk zelf twee nieuwe groene kaarten die specifiek bij déze blauwe kaart horen (niet bij de oorspronkelijke gele kaart) — concrete voorbeelden van een tijdelijke wijziging, met exacte waarden en een concrete periode.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vijfde veld toepassen (15 min, plenair)</w:t>
      </w:r>
    </w:p>
    <w:p>
      <w:pPr>
        <w:spacing w:after="140" w:line="300"/>
      </w:pPr>
      <w:r>
        <w:rPr>
          <w:rFonts w:ascii="Calibri" w:cs="Calibri" w:eastAsia="Calibri" w:hAnsi="Calibri"/>
          <w:b w:val="false"/>
          <w:bCs w:val="false"/>
          <w:i w:val="false"/>
          <w:iCs w:val="false"/>
          <w:sz w:val="22"/>
          <w:szCs w:val="22"/>
        </w:rPr>
        <w:t xml:space="preserve">Reader §17.8 beschrijft het vijfde veld: of een voorbeeld, weggehaald, iets zou veranderen aan hoe iemand de regel implementeert of toetst. Pas dit veld toe op je eigen drie voorbeelden uit opdracht 2: zou je, achteraf, een van de drie schrappen omdat hij niets toevoegt aan een van de andere twee? Beargumenteer je antwoord.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DEEL B — De detectieregel en de bredere principes</w:t>
      </w:r>
    </w:p>
    <w:p>
      <w:pPr>
        <w:pStyle w:val="Heading2"/>
        <w:spacing w:after="120" w:before="200"/>
      </w:pPr>
      <w:r>
        <w:rPr>
          <w:rFonts w:ascii="Georgia" w:cs="Georgia" w:eastAsia="Georgia" w:hAnsi="Georgia"/>
          <w:b/>
          <w:bCs/>
          <w:color w:val="2C5AA0"/>
          <w:sz w:val="28"/>
          <w:szCs w:val="28"/>
        </w:rPr>
        <w:t xml:space="preserve">Opdracht 6 — Waarom deze gele kaart splitst (20 min, groepjes van drie tot vier)</w:t>
      </w:r>
    </w:p>
    <w:p>
      <w:pPr>
        <w:spacing w:after="140" w:line="300"/>
      </w:pPr>
      <w:r>
        <w:rPr>
          <w:rFonts w:ascii="Calibri" w:cs="Calibri" w:eastAsia="Calibri" w:hAnsi="Calibri"/>
          <w:b w:val="false"/>
          <w:bCs w:val="false"/>
          <w:i w:val="false"/>
          <w:iCs w:val="false"/>
          <w:sz w:val="22"/>
          <w:szCs w:val="22"/>
        </w:rPr>
        <w:t xml:space="preserve">Bekijk dossierstuk 17-C en reader §17.5. Leg uit, in eigen woorden, waarom de oorspronkelijke gele kaart ("als er een signaal binnenkomt dat op een scheiding kan wijzen...") gesplitst werd, en niet gewoon met twee groene voorbeelden onder één gele kaart bleef staan. Gebruik het criterium uit de reader (verschillende soorten vervolgstap) expliciet in je antwoord.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Een derde signaal verzinnen (15 min, individueel)</w:t>
      </w:r>
    </w:p>
    <w:p>
      <w:pPr>
        <w:spacing w:after="140" w:line="300"/>
      </w:pPr>
      <w:r>
        <w:rPr>
          <w:rFonts w:ascii="Calibri" w:cs="Calibri" w:eastAsia="Calibri" w:hAnsi="Calibri"/>
          <w:b w:val="false"/>
          <w:bCs w:val="false"/>
          <w:i w:val="false"/>
          <w:iCs w:val="false"/>
          <w:sz w:val="22"/>
          <w:szCs w:val="22"/>
        </w:rPr>
        <w:t xml:space="preserve">Bedenk een derde mogelijk vroeg signaal van een scheiding (naast de twee uit dossierstuk 17-C) en bepaal onder welke van de twee gesplitste gele kaarten het hoort — of, als het bij geen van beide goed past, beargumenteer of dat wijst op een derde, nog niet benoemde categorie.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8 — Van rood naar blauw (15 min, tweetallen)</w:t>
      </w:r>
    </w:p>
    <w:p>
      <w:pPr>
        <w:spacing w:after="140" w:line="300"/>
      </w:pPr>
      <w:r>
        <w:rPr>
          <w:rFonts w:ascii="Calibri" w:cs="Calibri" w:eastAsia="Calibri" w:hAnsi="Calibri"/>
          <w:b w:val="false"/>
          <w:bCs w:val="false"/>
          <w:i w:val="false"/>
          <w:iCs w:val="false"/>
          <w:sz w:val="22"/>
          <w:szCs w:val="22"/>
        </w:rPr>
        <w:t xml:space="preserve">Reader §17.5 laat zien dat een rode kaart soms binnen het gesprek zelf naar blauw verhuist, zoals bij de vraag "wie voert de gerichte navraag uit". Bedenk, terugkijkend naar dossierstuk 17-B (de ondergrensregel), of een van de twee resterende rode kaarten daar ook op deze manier ter plekke beantwoord had kunnen worden, of dat die om een andere reden echt open moest blijven. Onderbouw je antwoord.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9 — Example mapping versus specification by example (15 min, plenair)</w:t>
      </w:r>
    </w:p>
    <w:p>
      <w:pPr>
        <w:spacing w:after="140" w:line="300"/>
      </w:pPr>
      <w:r>
        <w:rPr>
          <w:rFonts w:ascii="Calibri" w:cs="Calibri" w:eastAsia="Calibri" w:hAnsi="Calibri"/>
          <w:b w:val="false"/>
          <w:bCs w:val="false"/>
          <w:i w:val="false"/>
          <w:iCs w:val="false"/>
          <w:sz w:val="22"/>
          <w:szCs w:val="22"/>
        </w:rPr>
        <w:t xml:space="preserve">Reader §17.6 maakt het onderscheid tussen example mapping (een gesprek van een half uur, gericht op één regel) en specification by example (het bredere principe). Leg uit waarom de groene kaarten uit een example-mappinggesprek "in potentie" acceptatiecriteria zijn, maar dat nog niet automatisch zijn op het moment dat het gesprek eindigt. Wat moet er nog gebeuren voordat een groene kaart daadwerkelijk als toetsbaar criterium bruikbaar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10 — Vera's observatie herkennen (20 min, groepjes van drie tot vier)</w:t>
      </w:r>
    </w:p>
    <w:p>
      <w:pPr>
        <w:spacing w:after="140" w:line="300"/>
      </w:pPr>
      <w:r>
        <w:rPr>
          <w:rFonts w:ascii="Calibri" w:cs="Calibri" w:eastAsia="Calibri" w:hAnsi="Calibri"/>
          <w:b w:val="false"/>
          <w:bCs w:val="false"/>
          <w:i w:val="false"/>
          <w:iCs w:val="false"/>
          <w:sz w:val="22"/>
          <w:szCs w:val="22"/>
        </w:rPr>
        <w:t xml:space="preserve">Lees reader §17.7 opnieuw. Vera's opmerking over de aggregaatgrens ontstaat vanuit een concreet voorbeeld (het tijdelijke-wijziging-geval), niet vanuit een abstracte discussie. Bedenk, terugkijkend op de deeltijdwijziging of de scheidingsketen, een eigen voorbeeld (verzonnen of gebaseerd op wat je in dit deel en deel 16 hebt geleerd) dat een vergelijkbare vraag zou kunnen oproepen over waar een aggregaatgrens precies zou moeten lopen. Je hoeft de vraag niet te beantwoorden — het gaat om het herkennen van het type inzicht dat een concreet voorbeeld kan opleveren dat een abstracte regel niet oplevert.</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Geen vaste uitwerking. Een voorbeeld met een webshop-regel: geel — "bij een bestelling boven de 50 euro is verzending gratis"; blauw — "voor bezorging buiten het eigen land geldt een aparte drempel van 100 euro"; groen — "een bestelling van 62 euro naar een binnenlands adres: gratis verzending"; rood — "telt een cadeaubon die het bedrag onder de 50 euro brengt na aftrek, of vóór aftrek?" Let bij het beoordelen op of de vier kaarten functioneel verschillend zijn: de gele kaart blijft een enkele zin, de blauwe kaart is een precisering en geen los voorbeeld, de groene kaart bevat concrete waarden, en de rode kaart is een vraag zonder aangenomen antwoord.</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Geen vaste uitwerking. Groepen vinden vaak, net als het team in de casus, een grensgeval dat direct een vraag oproept over het referentiepunt (percentage versus absoluut aantal uren) — dat is precies waarom rood 1 in dossierstuk 17-B ontstaat. Een groep die dit niet zelf tegenkomt, heeft mogelijk te snel een referentiepunt aangenomen zonder het hardop te benoemen; bespreek dat als leermoment.</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Een te hypothetisch geval levert geen goede groene kaart op omdat een voorbeeld concreet en direct toetsbaar moet zijn — "in twee stappen naar 15 uur" mist een concrete tijdlijn (hoeveel stappen, over welke periode) en een concreet startpunt, waardoor het eerder een categorie van mogelijke gevallen beschrijft dan één geval. Een concreet genoeg voorbeeld zou zijn: "een dienstverband van 40 uur wijzigt op 1 maart naar 32 uur, en op 1 september van hetzelfde jaar naar 15 uur — is de tweede wijziging op zichzelf binnen de ondergrens, maar de cumulatieve wijziging over het jaar niet?" — met concrete data en concrete percentages, direct te toetsen aan welke regel-interpretatie dan ook.</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Twee mogelijke groene kaarten: "een dienstverband van 36 uur wijzigt op 1 april naar 20 uur voor de duur van zorgverlof tot 1 oktober, met automatische terugkeer naar 36 uur op die datum — geen handmatige bevestiging bij de wijziging zelf, wel een automatische controle op 1 oktober of de terugkeer daadwerkelijk plaatsvindt"; en "een dienstverband van 28 uur wijzigt tijdelijk naar 10 uur zonder vooraf vastgestelde einddatum ('voorlopig, tot nader order') — valt dit nog onder de blauwe kaart, of terug onder de oorspronkelijke gele kaart omdat er geen vaste einddatum is?" Het tweede voorbeeld illustreert meteen hoe een nieuw voorbeeld weer een nieuwe rode kaart kan opleveren.</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Geen vaste uitwerking. Een goed antwoord herkent dat het grensgeval (bijvoorbeeld het "8 naar 4 uur"-voorbeeld) meestal blijft staan omdat het een ander punt illustreert dan het duidelijke geval, terwijl een tweede "duidelijk binnen de regel"-voorbeeld met alleen andere getallen vaak wél geschrapt kan worden zonder verlies — precies de test die het vijfde veld beschrijft.</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De splitsing ontstaat omdat de twee voorbeelden (adreswijziging, begunstigdewijziging) weliswaar allebei "een signaal dat op een scheiding kan wijzen" zijn, maar een fundamenteel andere vervolgstap vragen: het ene een gerichte, actief geïnitieerde navraag, het andere een controle binnen een toch al lopend proces. Zouden beide onder één gele kaart blijven staan, dan zou een implementatie van die regel moeten kiezen tussen twee, onderling onverenigbare vervolgacties zonder duidelijk criterium wanneer welke geldt — precies het soort verborgen ambiguïteit die example mapping bedoeld is bloot te leggen vóórdat iemand gaat bouwen.</w:t>
      </w:r>
    </w:p>
    <w:p>
      <w:pPr>
        <w:pStyle w:val="Heading2"/>
        <w:spacing w:after="120" w:before="200"/>
      </w:pPr>
      <w:r>
        <w:rPr>
          <w:rFonts w:ascii="Georgia" w:cs="Georgia" w:eastAsia="Georgia" w:hAnsi="Georgia"/>
          <w:b/>
          <w:bCs/>
          <w:color w:val="2C5AA0"/>
          <w:sz w:val="28"/>
          <w:szCs w:val="28"/>
        </w:rPr>
        <w:t xml:space="preserve">Uitwerking 7</w:t>
      </w:r>
    </w:p>
    <w:p>
      <w:pPr>
        <w:spacing w:after="140" w:line="300"/>
      </w:pPr>
      <w:r>
        <w:rPr>
          <w:rFonts w:ascii="Calibri" w:cs="Calibri" w:eastAsia="Calibri" w:hAnsi="Calibri"/>
          <w:b w:val="false"/>
          <w:bCs w:val="false"/>
          <w:i w:val="false"/>
          <w:iCs w:val="false"/>
          <w:sz w:val="22"/>
          <w:szCs w:val="22"/>
        </w:rPr>
        <w:t xml:space="preserve">Geen vaste uitwerking. Een plausibel derde signaal: een adreswijziging van de deelnemer zelf, kort gevolgd door een adreswijziging van een eerder geregistreerde partner naar een ander adres — dit past het beste bij de eerste, "gerichte navraag"-kaart, omdat het net als het adresvoorbeeld een op zichzelf staand signaal is dat niet vanzelf binnen een ander proces wordt opgemerkt. Een minder eenduidig voorbeeld (bijvoorbeeld een wijziging in de fiscale inhouding) kan een argument zijn voor een derde, nog niet benoemde categorie — een geldig antwoord zolang het beargumenteerd is.</w:t>
      </w:r>
    </w:p>
    <w:p>
      <w:pPr>
        <w:pStyle w:val="Heading2"/>
        <w:spacing w:after="120" w:before="200"/>
      </w:pPr>
      <w:r>
        <w:rPr>
          <w:rFonts w:ascii="Georgia" w:cs="Georgia" w:eastAsia="Georgia" w:hAnsi="Georgia"/>
          <w:b/>
          <w:bCs/>
          <w:color w:val="2C5AA0"/>
          <w:sz w:val="28"/>
          <w:szCs w:val="28"/>
        </w:rPr>
        <w:t xml:space="preserve">Uitwerking 8</w:t>
      </w:r>
    </w:p>
    <w:p>
      <w:pPr>
        <w:spacing w:after="140" w:line="300"/>
      </w:pPr>
      <w:r>
        <w:rPr>
          <w:rFonts w:ascii="Calibri" w:cs="Calibri" w:eastAsia="Calibri" w:hAnsi="Calibri"/>
          <w:b w:val="false"/>
          <w:bCs w:val="false"/>
          <w:i w:val="false"/>
          <w:iCs w:val="false"/>
          <w:sz w:val="22"/>
          <w:szCs w:val="22"/>
        </w:rPr>
        <w:t xml:space="preserve">Een verdedigbaar antwoord: rood 1 (percentage versus absoluut aantal uren) had waarschijnlijk niet ter plekke beantwoord kunnen worden, omdat dit een beleidskeuze is die verder reikt dan wat de aanwezigen aan tafel zelf kunnen vaststellen — vergelijkbaar met hoe de vraag in §17.5 wél ter plekke beantwoord kon worden omdat het ging om een praktische werkverdeling die Karsten en Vera al kenden uit de bestaande manier van werken. Rood 2 (eindresultaat versus omvang van de wijziging, cumulatie) is nog minder geschikt om ter plekke te beantwoorden, omdat het een systeemontwerpvraag raakt (moet het systeem een geschiedenis van wijzigingen bijhouden om cumulatie te kunnen signaleren) die niet zomaar met "zo werken we nu al" te beantwoorden is.</w:t>
      </w:r>
    </w:p>
    <w:p>
      <w:pPr>
        <w:pStyle w:val="Heading2"/>
        <w:spacing w:after="120" w:before="200"/>
      </w:pPr>
      <w:r>
        <w:rPr>
          <w:rFonts w:ascii="Georgia" w:cs="Georgia" w:eastAsia="Georgia" w:hAnsi="Georgia"/>
          <w:b/>
          <w:bCs/>
          <w:color w:val="2C5AA0"/>
          <w:sz w:val="28"/>
          <w:szCs w:val="28"/>
        </w:rPr>
        <w:t xml:space="preserve">Uitwerking 9</w:t>
      </w:r>
    </w:p>
    <w:p>
      <w:pPr>
        <w:spacing w:after="140" w:line="300"/>
      </w:pPr>
      <w:r>
        <w:rPr>
          <w:rFonts w:ascii="Calibri" w:cs="Calibri" w:eastAsia="Calibri" w:hAnsi="Calibri"/>
          <w:b w:val="false"/>
          <w:bCs w:val="false"/>
          <w:i w:val="false"/>
          <w:iCs w:val="false"/>
          <w:sz w:val="22"/>
          <w:szCs w:val="22"/>
        </w:rPr>
        <w:t xml:space="preserve">Een groene kaart is in potentie een acceptatiecriterium omdat hij al de vorm heeft van een concreet, toetsbaar geval — maar hij is dat nog niet automatisch omdat hij is vastgelegd binnen het tempo en de beperkte tijd van een gesprek, zonder dat is gecontroleerd of hij consistent is met andere voorbeelden, zonder dat de openstaande (rode) vragen die de regel nog raken zijn beantwoord, en zonder de vaste, ondubbelzinnige driedeling (uitgangssituatie, gebeurtenis, resultaat) uit §17.6 waarin hij voor bouw en toetsing herbruikbaar wordt vastgelegd. Pas wanneer de rode kaarten zijn afgehandeld en de voorbeelden in die vaste vorm zijn opgeschreven, zijn ze bruikbaar als daadwerkelijke acceptatiecriteria.</w:t>
      </w:r>
    </w:p>
    <w:p>
      <w:pPr>
        <w:pStyle w:val="Heading2"/>
        <w:spacing w:after="120" w:before="200"/>
      </w:pPr>
      <w:r>
        <w:rPr>
          <w:rFonts w:ascii="Georgia" w:cs="Georgia" w:eastAsia="Georgia" w:hAnsi="Georgia"/>
          <w:b/>
          <w:bCs/>
          <w:color w:val="2C5AA0"/>
          <w:sz w:val="28"/>
          <w:szCs w:val="28"/>
        </w:rPr>
        <w:t xml:space="preserve">Uitwerking 10</w:t>
      </w:r>
    </w:p>
    <w:p>
      <w:pPr>
        <w:spacing w:after="140" w:line="300"/>
      </w:pPr>
      <w:r>
        <w:rPr>
          <w:rFonts w:ascii="Calibri" w:cs="Calibri" w:eastAsia="Calibri" w:hAnsi="Calibri"/>
          <w:b w:val="false"/>
          <w:bCs w:val="false"/>
          <w:i w:val="false"/>
          <w:iCs w:val="false"/>
          <w:sz w:val="22"/>
          <w:szCs w:val="22"/>
        </w:rPr>
        <w:t xml:space="preserve">Geen vaste uitwerking. Een plausibel eigen voorbeeld: bij de scheidingsketen zou een voorbeeld waarin twee scheidingsmeldingen kort na elkaar binnenkomen via twee verschillende routes (bijvoorbeeld via het Werkgeversportaal én via KERN, binnen dezelfde week) een vraag kunnen oproepen of "scheiding registreren" (het gedeelde commando uit deel 16) een aggregaat is dat dubbele registraties zelf moet herkennen en samenvoegen, of dat die verantwoordelijkheid ergens anders hoort te liggen — een vraag die, net als bij Vera's observatie, pas door een concreet, dubbel voorbeeld zichtbaar wordt en niet door de abstracte procesbeschrijving van deel 16 alleen.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2026-08-16T19:18:45.367Z</dcterms:created>
  <dcterms:modified xsi:type="dcterms:W3CDTF">2026-08-16T19:18:45.367Z</dcterms:modified>
</cp:coreProperties>
</file>

<file path=docProps/custom.xml><?xml version="1.0" encoding="utf-8"?>
<Properties xmlns="http://schemas.openxmlformats.org/officeDocument/2006/custom-properties" xmlns:vt="http://schemas.openxmlformats.org/officeDocument/2006/docPropsVTypes"/>
</file>