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18 — Aggregates herzien: consistentiegrenzen bij meerdere teams</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2 · deel 18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18 is de scharnier tussen het samenwerkingsdrieluik (deel 15-17) en het architectuurdrieluik dat met deel 19 begint. Het pakt twee losse signalen op die deel 16 en deel 17 bewust onopgelost lieten liggen — de botsing tussen de twee deelprojecten over de definitie van een dienstverband (casusdossier §3, herhaald in deel 16) en Vera's observatie aan het eind van deel 17 over de termijnbewaking — en herziet ze met het instrumentarium van dit deel. Begin dit deel dus niet los van deel 6 (aggregate, niveau 1) en niet los van deel 17 §17.7; deelnemers die niveau 1 niet hebben gevolgd, hebben minimaal de samenvatting van deel 6 nodig (§6.3 van de niveau-1-reader) om de vuistregel van dit deel ("een aggregate hoort bij precies één team") als uitbreiding te kunnen plaatsen, niet als iets nieuws.</w:t>
      </w:r>
    </w:p>
    <w:p>
      <w:pPr>
        <w:spacing w:after="140" w:line="300"/>
      </w:pPr>
      <w:r>
        <w:rPr>
          <w:rFonts w:ascii="Calibri" w:cs="Calibri" w:eastAsia="Calibri" w:hAnsi="Calibri"/>
          <w:b w:val="false"/>
          <w:bCs w:val="false"/>
          <w:i w:val="false"/>
          <w:iCs w:val="false"/>
          <w:sz w:val="22"/>
          <w:szCs w:val="22"/>
        </w:rPr>
        <w:t xml:space="preserve">Het kernonderscheid dat dit deel maakt — een cross-team-aggregate is een ontwerpfout, geen coördinatieprobleem — is de belangrijkste boodschap van het deel en verdient herhaalde, expliciete bevestiging tijdens de sessie. Deelnemers hebben de neiging om, zodra ze een conflict tussen twee teams zien, meteen naar een procesoplossing te grijpen (wie schrijft eerst, hoe stemmen we af). Het is aan de docent om dat reflexmatige antwoord elke keer terug te sturen naar de vraag die dit deel wél wil laten stellen: hoort deze grens hier eigenlijk wel te liggen?</w:t>
      </w:r>
    </w:p>
    <w:p>
      <w:pPr>
        <w:pStyle w:val="ListParagraph"/>
        <w:numPr>
          <w:ilvl w:val="0"/>
          <w:numId w:val="1"/>
        </w:numPr>
        <w:spacing w:after="80"/>
      </w:pPr>
      <w:r>
        <w:rPr>
          <w:rFonts w:ascii="Calibri" w:cs="Calibri" w:eastAsia="Calibri" w:hAnsi="Calibri"/>
          <w:sz w:val="22"/>
          <w:szCs w:val="22"/>
        </w:rPr>
        <w:t xml:space="preserve">**Module-onderdeel:** dit deel valt onder "aggregate" uit het officiële iSAQB-curriculum, hier uitgebreid naar landschapsschaal — een uitbreiding die het curriculum zelf niet expliciet benoemt, maar die logisch aansluit bij de module-onderwerpen "domain, model en ubiquitous language" en "de relatie tussen model en code". Behandel dit deel als examenrelevant voor het tactische deel van de module-toets (deel 10, niveau 1) én het strategische deel (deel 22, niveau 2), omdat aggregates hier bewust op het snijvlak van beide worden behandeld.</w:t>
      </w:r>
    </w:p>
    <w:p>
      <w:pPr>
        <w:pStyle w:val="ListParagraph"/>
        <w:numPr>
          <w:ilvl w:val="0"/>
          <w:numId w:val="1"/>
        </w:numPr>
        <w:spacing w:after="80"/>
      </w:pPr>
      <w:r>
        <w:rPr>
          <w:rFonts w:ascii="Calibri" w:cs="Calibri" w:eastAsia="Calibri" w:hAnsi="Calibri"/>
          <w:sz w:val="22"/>
          <w:szCs w:val="22"/>
        </w:rPr>
        <w:t xml:space="preserve">**Werkvorm:** de grenzentoets.</w:t>
      </w:r>
    </w:p>
    <w:p>
      <w:pPr>
        <w:pStyle w:val="ListParagraph"/>
        <w:numPr>
          <w:ilvl w:val="0"/>
          <w:numId w:val="1"/>
        </w:numPr>
        <w:spacing w:after="80"/>
      </w:pPr>
      <w:r>
        <w:rPr>
          <w:rFonts w:ascii="Calibri" w:cs="Calibri" w:eastAsia="Calibri" w:hAnsi="Calibri"/>
          <w:sz w:val="22"/>
          <w:szCs w:val="22"/>
        </w:rPr>
        <w:t xml:space="preserve">**Duur:** één dagdeel (circa 3,5 uur inclusief pauze).</w:t>
      </w:r>
    </w:p>
    <w:p>
      <w:pPr>
        <w:pStyle w:val="ListParagraph"/>
        <w:numPr>
          <w:ilvl w:val="0"/>
          <w:numId w:val="1"/>
        </w:numPr>
        <w:spacing w:after="80"/>
      </w:pPr>
      <w:r>
        <w:rPr>
          <w:rFonts w:ascii="Calibri" w:cs="Calibri" w:eastAsia="Calibri" w:hAnsi="Calibri"/>
          <w:sz w:val="22"/>
          <w:szCs w:val="22"/>
        </w:rPr>
        <w:t xml:space="preserve">**Voorbereiding deelnemers:** deel 6 (niveau 1) gekend of samengevat; deel 16 en 17 afgerond, met kennis van de dienstverband-botsing en Vera's observatie als startmateriaal.</w:t>
      </w:r>
    </w:p>
    <w:p>
      <w:pPr>
        <w:pStyle w:val="ListParagraph"/>
        <w:numPr>
          <w:ilvl w:val="0"/>
          <w:numId w:val="1"/>
        </w:numPr>
        <w:spacing w:after="80"/>
      </w:pPr>
      <w:r>
        <w:rPr>
          <w:rFonts w:ascii="Calibri" w:cs="Calibri" w:eastAsia="Calibri" w:hAnsi="Calibri"/>
          <w:sz w:val="22"/>
          <w:szCs w:val="22"/>
        </w:rPr>
        <w:t xml:space="preserve">**Materiaal vooraf regelen:** het invulblad van de grenzentoets (dossierstuk 18-A) per groepje, whiteboard of digitaal bord voor het tekenen van aggregate-schema's (opdracht 4).</w:t>
      </w:r>
    </w:p>
    <w:p>
      <w:pPr>
        <w:pStyle w:val="Heading2"/>
        <w:spacing w:after="120" w:before="200"/>
      </w:pPr>
      <w:r>
        <w:rPr>
          <w:rFonts w:ascii="Georgia" w:cs="Georgia" w:eastAsia="Georgia" w:hAnsi="Georgia"/>
          <w:b/>
          <w:bCs/>
          <w:color w:val="2C5AA0"/>
          <w:sz w:val="28"/>
          <w:szCs w:val="28"/>
        </w:rPr>
        <w:t xml:space="preserve">2. Tijdschema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6 (aggregate binnen één team) en de twee openstaande signalen uit deel 16-17</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Casus: de dienstverband-aggregate herkend (reader §18.2)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0:25-0:35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 het verschil met deel 6 benoemen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Waarom dit een ontwerpfout is (§18.3)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 — stap 1 en 2 zelf invullen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 herzieningsrichtingen (§18.4)</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richting 1 of richting 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de splitsing tekenen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het vijfde veld toepassen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2:30-2:50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 naar de termijnbewaking (§18.5) + opdracht 6 en 7</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**Kader: ↗ Uitvoering — het Locked Platform (§18.6)**</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3:00-3:15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9 — wanneer een shared kernel wél passend 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3:15-3:30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 naar de casus, Iris' vraag, vooruitblik deel 19</w:t>
            </w:r>
          </w:p>
        </w:tc>
      </w:tr>
    </w:tbl>
    <w:p>
      <w:pPr>
        <w:spacing w:after="140" w:line="300"/>
      </w:pPr>
      <w:r>
        <w:rPr>
          <w:rFonts w:ascii="Calibri" w:cs="Calibri" w:eastAsia="Calibri" w:hAnsi="Calibri"/>
          <w:b w:val="false"/>
          <w:bCs w:val="false"/>
          <w:i w:val="false"/>
          <w:iCs w:val="false"/>
          <w:sz w:val="22"/>
          <w:szCs w:val="22"/>
        </w:rPr>
        <w:t xml:space="preserve">Loop je uit vóór de pauze, dan is opdracht 2 de eerste kandidaat om te verkorten tot een korte plenaire check in plaats van een zelfstandige oefening — de inhoud komt sowieso terug in §18.2. Schrap nooit opdracht 3 of 4: dit is waar deelnemers het onderscheid tussen de twee herzieningsrichtingen zelf leren toepassen, en dat onderscheid is de kern van dit deel. Loop je uit ná de pauze, dan kunnen opdracht 8 en 10 vervallen of als huiswerk worden meegegeven; behandel in dat geval de essentie van uitwerking 10 (het patroon vroeg herkennen, met een vooruitblik naar deel 20) wel mondeling, zodat de brug naar deel 19-20 niet wegvalt.</w:t>
      </w:r>
    </w:p>
    <w:p>
      <w:pPr>
        <w:pStyle w:val="Heading2"/>
        <w:spacing w:after="120" w:before="200"/>
      </w:pPr>
      <w:r>
        <w:rPr>
          <w:rFonts w:ascii="Georgia" w:cs="Georgia" w:eastAsia="Georgia" w:hAnsi="Georgia"/>
          <w:b/>
          <w:bCs/>
          <w:color w:val="2C5AA0"/>
          <w:sz w:val="28"/>
          <w:szCs w:val="28"/>
        </w:rPr>
        <w:t xml:space="preserve">3. Didactische aanwijzingen</w:t>
      </w:r>
    </w:p>
    <w:p>
      <w:pPr>
        <w:spacing w:after="140" w:line="300"/>
      </w:pPr>
      <w:r>
        <w:rPr>
          <w:rFonts w:ascii="Calibri" w:cs="Calibri" w:eastAsia="Calibri" w:hAnsi="Calibri"/>
          <w:b/>
          <w:bCs/>
          <w:i w:val="false"/>
          <w:iCs w:val="false"/>
          <w:sz w:val="22"/>
          <w:szCs w:val="22"/>
        </w:rPr>
        <w:t xml:space="preserve">Casus: de dienstverband-aggregate herkend (0:10-0:25).</w:t>
      </w:r>
      <w:r>
        <w:rPr>
          <w:rFonts w:ascii="Calibri" w:cs="Calibri" w:eastAsia="Calibri" w:hAnsi="Calibri"/>
          <w:b w:val="false"/>
          <w:bCs w:val="false"/>
          <w:i w:val="false"/>
          <w:iCs w:val="false"/>
          <w:sz w:val="22"/>
          <w:szCs w:val="22"/>
        </w:rPr>
        <w:t xml:space="preserve"> Laat deelnemers eerst zelf benoemen wat er misging bij de botsing van casusdossier §3, vóórdat je het als aggregate-conflict framet. De waarde van dit deel zit erin dat deelnemers de stap zelf zetten van "twee teams met tegenstrijdige aannames" naar "twee teams die onafhankelijk in dezelfde consistentiegrens schrijven" — als je die stap voor ze zet, mist het deel zijn belangrijkste leermoment.</w:t>
      </w:r>
    </w:p>
    <w:p>
      <w:pPr>
        <w:spacing w:after="140" w:line="300"/>
      </w:pPr>
      <w:r>
        <w:rPr>
          <w:rFonts w:ascii="Calibri" w:cs="Calibri" w:eastAsia="Calibri" w:hAnsi="Calibri"/>
          <w:b/>
          <w:bCs/>
          <w:i w:val="false"/>
          <w:iCs w:val="false"/>
          <w:sz w:val="22"/>
          <w:szCs w:val="22"/>
        </w:rPr>
        <w:t xml:space="preserve">Opdracht 3 (richting 1 of richting 2).</w:t>
      </w:r>
      <w:r>
        <w:rPr>
          <w:rFonts w:ascii="Calibri" w:cs="Calibri" w:eastAsia="Calibri" w:hAnsi="Calibri"/>
          <w:b w:val="false"/>
          <w:bCs w:val="false"/>
          <w:i w:val="false"/>
          <w:iCs w:val="false"/>
          <w:sz w:val="22"/>
          <w:szCs w:val="22"/>
        </w:rPr>
        <w:t xml:space="preserve"> Dit is de belangrijkste opdracht van het deel. Let erop dat groepen niet automatisch voor "splitsen" kiezen omdat het de eerstgenoemde optie is of omdat het technisch eenvoudiger klinkt — vraag door op het criterium uit §18.4 ("zou dit structureel hetzelfde blijven, of blijkt het bij uitsplitsen twee verschillende dingen te zijn"). Een groep die voor de dienstverband-aggregate voor richting 2 (shared kernel) pleit, is niet per se fout — laat ze het verdedigen met de kostenoverweging van Vera, en toets of hun argumentatie standhoudt tegen de vraag: kunnen KERN en het Mutatieplatform ooit onafhankelijk van elkaar werken zonder dat de garantie verloren gaat?</w:t>
      </w:r>
    </w:p>
    <w:p>
      <w:pPr>
        <w:spacing w:after="140" w:line="300"/>
      </w:pPr>
      <w:r>
        <w:rPr>
          <w:rFonts w:ascii="Calibri" w:cs="Calibri" w:eastAsia="Calibri" w:hAnsi="Calibri"/>
          <w:b/>
          <w:bCs/>
          <w:i w:val="false"/>
          <w:iCs w:val="false"/>
          <w:sz w:val="22"/>
          <w:szCs w:val="22"/>
        </w:rPr>
        <w:t xml:space="preserve">Opdracht 4 (de splitsing tekenen).</w:t>
      </w:r>
      <w:r>
        <w:rPr>
          <w:rFonts w:ascii="Calibri" w:cs="Calibri" w:eastAsia="Calibri" w:hAnsi="Calibri"/>
          <w:b w:val="false"/>
          <w:bCs w:val="false"/>
          <w:i w:val="false"/>
          <w:iCs w:val="false"/>
          <w:sz w:val="22"/>
          <w:szCs w:val="22"/>
        </w:rPr>
        <w:t xml:space="preserve"> Bewaak dat de tekening een verwijzing toont (identiteit plus versie), geen gedeelde schrijftoegang in afgeslankte vorm. Een veelgemaakte fout is een tekening waarin het Mutatieplatform nog steeds rechtstreeks een veld van de KERN-aggregate aanpast "omdat het maar één veld is" — dat is geen splitsing, dat is dezelfde fout in het klein.</w:t>
      </w:r>
    </w:p>
    <w:p>
      <w:pPr>
        <w:spacing w:after="140" w:line="300"/>
      </w:pPr>
      <w:r>
        <w:rPr>
          <w:rFonts w:ascii="Calibri" w:cs="Calibri" w:eastAsia="Calibri" w:hAnsi="Calibri"/>
          <w:b/>
          <w:bCs/>
          <w:i w:val="false"/>
          <w:iCs w:val="false"/>
          <w:sz w:val="22"/>
          <w:szCs w:val="22"/>
        </w:rPr>
        <w:t xml:space="preserve">§18.6 — het Locked Platform-kader.</w:t>
      </w:r>
      <w:r>
        <w:rPr>
          <w:rFonts w:ascii="Calibri" w:cs="Calibri" w:eastAsia="Calibri" w:hAnsi="Calibri"/>
          <w:b w:val="false"/>
          <w:bCs w:val="false"/>
          <w:i w:val="false"/>
          <w:iCs w:val="false"/>
          <w:sz w:val="22"/>
          <w:szCs w:val="22"/>
        </w:rPr>
        <w:t xml:space="preserve"> Behandel dit kader kort en met bewuste terughoudendheid: lees het kader hardop voor, of laat deelnemers het zelf lezen, en ga niet in op de technische werking van het Locked Platform zelf. Het doel is uitsluitend erkenning dat dit invariant-denken zich op meer dan één manier laat implementeren, met het Locked Platform als één noemenswaardig voorbeeld naast een klassieke ORM-route. Vragen over de concrete werking van het platform worden doorverwezen naar de Toolbijlage — geef in de sessie zelf geen platformdiepgang, ook niet als deelnemers erom vragen. Dit is precies de grens die het opzetdocument voor dit deel bewaakt (§4 van de analyse): platformonafhankelijk in de hoofdtekst, met het Locked Platform als één van meerdere genoemde uitvoeringsvormen op een precies afgebakende plek.</w:t>
      </w:r>
    </w:p>
    <w:p>
      <w:pPr>
        <w:spacing w:after="140" w:line="300"/>
      </w:pPr>
      <w:r>
        <w:rPr>
          <w:rFonts w:ascii="Calibri" w:cs="Calibri" w:eastAsia="Calibri" w:hAnsi="Calibri"/>
          <w:b/>
          <w:bCs/>
          <w:i w:val="false"/>
          <w:iCs w:val="false"/>
          <w:sz w:val="22"/>
          <w:szCs w:val="22"/>
        </w:rPr>
        <w:t xml:space="preserve">Terug naar de termijnbewaking (2:30-2:50).</w:t>
      </w:r>
      <w:r>
        <w:rPr>
          <w:rFonts w:ascii="Calibri" w:cs="Calibri" w:eastAsia="Calibri" w:hAnsi="Calibri"/>
          <w:b w:val="false"/>
          <w:bCs w:val="false"/>
          <w:i w:val="false"/>
          <w:iCs w:val="false"/>
          <w:sz w:val="22"/>
          <w:szCs w:val="22"/>
        </w:rPr>
        <w:t xml:space="preserve"> Bewaak dat deelnemers het onderscheid zien tussen dit geval en de dienstverband-aggregate: hier is geen sprake van twee teams, maar van twee soorten invarianten (staat versus tijd) die ten onrechte samen zijn gevoegd. Dat voorkomt dat deelnemers dit deel gaan lezen als "een deel over teamconflicten" in plaats van "een deel over wie een invariant kan bewaken" — teamconflict is één, herkenbare aanleiding, niet de enige.</w:t>
      </w:r>
    </w:p>
    <w:p>
      <w:pPr>
        <w:pStyle w:val="Heading2"/>
        <w:spacing w:after="120" w:before="200"/>
      </w:pPr>
      <w:r>
        <w:rPr>
          <w:rFonts w:ascii="Georgia" w:cs="Georgia" w:eastAsia="Georgia" w:hAnsi="Georgia"/>
          <w:b/>
          <w:bCs/>
          <w:color w:val="2C5AA0"/>
          <w:sz w:val="28"/>
          <w:szCs w:val="28"/>
        </w:rPr>
        <w:t xml:space="preserve">4.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 stelt een procesafspraak voor ("wie schrijft eerst") in plaats van de grens te herzien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Reflex om het conflict te managen in plaats van de oorzaak te herzien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"wat gebeurt er bij een derde team dat hetzelfde nodig heeft?" (Foppe's vraag uit §18.2)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Richting 1 wordt gekozen zonder het criterium uit §18.4 toe te passen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keuze wordt gemaakt op gevoel of gewoonte, niet op argumentatie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"zijn dit bij uitsplitsen echt twee verschillende invarianten, of gewoon dezelfde met twee schrijvers?"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splitsing in opdracht 4 behoudt alsnog gedeelde schrijftoegang op een deelveld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Onvolledige splitsing — het probleem is verkleind, niet opgelost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"wie is nu, na deze splitsing, de enige die dit veld mag wijzigen?"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vragen door naar de technische werking van het Locked Platform tijdens §18.6</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Nieuwsgierigheid naar de platformkant, begrijpelijk maar buiten de scope van dit deel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naar de Toolbijlage, ga niet inhoudelijk mee in de sessie zelf</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Termijnbewaking wordt behandeld als "gewoon een tweede regel" binnen dezelfde aggregate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verschil tussen een invariant over de huidige staat en een invariant over tijd wordt niet herkend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"moet dit gecontroleerd worden ook als er tussentijds niets anders aan het dienstverband verandert?"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9 levert alleen technische maatregelen op (bijvoorbeeld "een gedeelde database")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Bestuur van een shared kernel wordt verward met een technische oplossing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aan Vera's woorden: een shared kernel is een doorlopende, kostbare afspraak — geen technische koppeling</w:t>
            </w:r>
          </w:p>
        </w:tc>
      </w:tr>
    </w:tbl>
    <w:p>
      <w:pPr>
        <w:pStyle w:val="Heading2"/>
        <w:spacing w:after="120" w:before="200"/>
      </w:pPr>
      <w:r>
        <w:rPr>
          <w:rFonts w:ascii="Georgia" w:cs="Georgia" w:eastAsia="Georgia" w:hAnsi="Georgia"/>
          <w:b/>
          <w:bCs/>
          <w:color w:val="2C5AA0"/>
          <w:sz w:val="28"/>
          <w:szCs w:val="28"/>
        </w:rPr>
        <w:t xml:space="preserve">5. Beoordeling</w:t>
      </w:r>
    </w:p>
    <w:p>
      <w:pPr>
        <w:spacing w:after="140" w:line="300"/>
      </w:pPr>
      <w:r>
        <w:rPr>
          <w:rFonts w:ascii="Calibri" w:cs="Calibri" w:eastAsia="Calibri" w:hAnsi="Calibri"/>
          <w:b w:val="false"/>
          <w:bCs w:val="false"/>
          <w:i w:val="false"/>
          <w:iCs w:val="false"/>
          <w:sz w:val="22"/>
          <w:szCs w:val="22"/>
        </w:rPr>
        <w:t xml:space="preserve">Deel 18 wordt niet becijferd. Houd bij of elke groep in opdracht 3 een keuze tussen richting 1 en richting 2 kan onderbouwen met het criterium uit §18.4, niet alleen met een voorkeur. Houd voor opdracht 4 bij of de tekening een echte verwijzing toont (geen resterende gedeelde schrijftoegang) en of beide aggregates een eigen, zelfstandig te bewaken invariant hebben. Noteer per groep: voldoet / voldoet met hulp / voldoet niet.</w:t>
      </w:r>
    </w:p>
    <w:p>
      <w:pPr>
        <w:pStyle w:val="Heading2"/>
        <w:spacing w:after="120" w:before="200"/>
      </w:pPr>
      <w:r>
        <w:rPr>
          <w:rFonts w:ascii="Georgia" w:cs="Georgia" w:eastAsia="Georgia" w:hAnsi="Georgia"/>
          <w:b/>
          <w:bCs/>
          <w:color w:val="2C5AA0"/>
          <w:sz w:val="28"/>
          <w:szCs w:val="28"/>
        </w:rPr>
        <w:t xml:space="preserve">6. Materiaal</w:t>
      </w:r>
    </w:p>
    <w:p>
      <w:pPr>
        <w:pStyle w:val="ListParagraph"/>
        <w:numPr>
          <w:ilvl w:val="0"/>
          <w:numId w:val="1"/>
        </w:numPr>
        <w:spacing w:after="80"/>
      </w:pPr>
      <w:r>
        <w:rPr>
          <w:rFonts w:ascii="Calibri" w:cs="Calibri" w:eastAsia="Calibri" w:hAnsi="Calibri"/>
          <w:sz w:val="22"/>
          <w:szCs w:val="22"/>
        </w:rPr>
        <w:t xml:space="preserve">Casusdossier niveau 2 (§3)</w:t>
      </w:r>
    </w:p>
    <w:p>
      <w:pPr>
        <w:pStyle w:val="ListParagraph"/>
        <w:numPr>
          <w:ilvl w:val="0"/>
          <w:numId w:val="1"/>
        </w:numPr>
        <w:spacing w:after="80"/>
      </w:pPr>
      <w:r>
        <w:rPr>
          <w:rFonts w:ascii="Calibri" w:cs="Calibri" w:eastAsia="Calibri" w:hAnsi="Calibri"/>
          <w:sz w:val="22"/>
          <w:szCs w:val="22"/>
        </w:rPr>
        <w:t xml:space="preserve">Niveau-1-reader deel 6 (§6.3-6.4), als opfrissing van de aggregate-basis</w:t>
      </w:r>
    </w:p>
    <w:p>
      <w:pPr>
        <w:pStyle w:val="ListParagraph"/>
        <w:numPr>
          <w:ilvl w:val="0"/>
          <w:numId w:val="1"/>
        </w:numPr>
        <w:spacing w:after="80"/>
      </w:pPr>
      <w:r>
        <w:rPr>
          <w:rFonts w:ascii="Calibri" w:cs="Calibri" w:eastAsia="Calibri" w:hAnsi="Calibri"/>
          <w:sz w:val="22"/>
          <w:szCs w:val="22"/>
        </w:rPr>
        <w:t xml:space="preserve">Uitkomsten van deel 16-17 (de ondergrensregel, Vera's observatie over de termijnbewaking), als startmateriaal</w:t>
      </w:r>
    </w:p>
    <w:p>
      <w:pPr>
        <w:pStyle w:val="ListParagraph"/>
        <w:numPr>
          <w:ilvl w:val="0"/>
          <w:numId w:val="1"/>
        </w:numPr>
        <w:spacing w:after="80"/>
      </w:pPr>
      <w:r>
        <w:rPr>
          <w:rFonts w:ascii="Calibri" w:cs="Calibri" w:eastAsia="Calibri" w:hAnsi="Calibri"/>
          <w:sz w:val="22"/>
          <w:szCs w:val="22"/>
        </w:rPr>
        <w:t xml:space="preserve">Werkboek deel 18, inclusief dossierstukken 18-A, 18-B en 18-C</w:t>
      </w:r>
    </w:p>
    <w:p>
      <w:pPr>
        <w:pStyle w:val="ListParagraph"/>
        <w:numPr>
          <w:ilvl w:val="0"/>
          <w:numId w:val="1"/>
        </w:numPr>
        <w:spacing w:after="80"/>
      </w:pPr>
      <w:r>
        <w:rPr>
          <w:rFonts w:ascii="Calibri" w:cs="Calibri" w:eastAsia="Calibri" w:hAnsi="Calibri"/>
          <w:sz w:val="22"/>
          <w:szCs w:val="22"/>
        </w:rPr>
        <w:t xml:space="preserve">Slidedeck deel 18</w:t>
      </w:r>
    </w:p>
    <w:p>
      <w:pPr>
        <w:pStyle w:val="ListParagraph"/>
        <w:numPr>
          <w:ilvl w:val="0"/>
          <w:numId w:val="1"/>
        </w:numPr>
        <w:spacing w:after="80"/>
      </w:pPr>
      <w:r>
        <w:rPr>
          <w:rFonts w:ascii="Calibri" w:cs="Calibri" w:eastAsia="Calibri" w:hAnsi="Calibri"/>
          <w:sz w:val="22"/>
          <w:szCs w:val="22"/>
        </w:rPr>
        <w:t xml:space="preserve">Whiteboard of digitaal bord voor het tekenen van aggregate-schema's</w:t>
      </w:r>
    </w:p>
    <w:p>
      <w:pPr>
        <w:pStyle w:val="Heading2"/>
        <w:spacing w:after="120" w:before="200"/>
      </w:pPr>
      <w:r>
        <w:rPr>
          <w:rFonts w:ascii="Georgia" w:cs="Georgia" w:eastAsia="Georgia" w:hAnsi="Georgia"/>
          <w:b/>
          <w:bCs/>
          <w:color w:val="2C5AA0"/>
          <w:sz w:val="28"/>
          <w:szCs w:val="28"/>
        </w:rPr>
        <w:t xml:space="preserve">7. Aantekeningen voor de docent over het Locked Platform-kader en positionering</w:t>
      </w:r>
    </w:p>
    <w:p>
      <w:pPr>
        <w:pStyle w:val="ListParagraph"/>
        <w:numPr>
          <w:ilvl w:val="0"/>
          <w:numId w:val="1"/>
        </w:numPr>
        <w:spacing w:after="80"/>
      </w:pPr>
      <w:r>
        <w:rPr>
          <w:rFonts w:ascii="Calibri" w:cs="Calibri" w:eastAsia="Calibri" w:hAnsi="Calibri"/>
          <w:sz w:val="22"/>
          <w:szCs w:val="22"/>
        </w:rPr>
        <w:t xml:space="preserve">**Dit is een van de twee gemarkeerde plekken in de hele cursus (naast deel 19) waar het Locked Platform met naam wordt genoemd.** Buiten §18.6 blijft dit deel, en de hele cursus tot aan deel 19, volledig toolneutraal. Wijk hier niet vanaf, ook niet als deelnemers uit eigen ervaring met het Locked Platform vragen stellen — verwijs naar de Toolbijlage en ga terug naar de hoofdlijn van het deel.</w:t>
      </w:r>
    </w:p>
    <w:p>
      <w:pPr>
        <w:pStyle w:val="ListParagraph"/>
        <w:numPr>
          <w:ilvl w:val="0"/>
          <w:numId w:val="1"/>
        </w:numPr>
        <w:spacing w:after="80"/>
      </w:pPr>
      <w:r>
        <w:rPr>
          <w:rFonts w:ascii="Calibri" w:cs="Calibri" w:eastAsia="Calibri" w:hAnsi="Calibri"/>
          <w:sz w:val="22"/>
          <w:szCs w:val="22"/>
        </w:rPr>
        <w:t xml:space="preserve">Het kader is bewust kort en erkennend, niet uitleggend: het noemt dat invariant-denken zich in event-sourced vorm laat uitdrukken (aggregate als toestandsmachine met eigen event-reeks, CQRS voor lezen/schrijven), met het Locked Platform als één voorbeeld naast een klassieke ORM-route, zonder verdere technische diepgang. De volledige uitwerking van het platform staat in de Toolbijlage, niet in dit deel.</w:t>
      </w:r>
    </w:p>
    <w:p>
      <w:pPr>
        <w:pStyle w:val="ListParagraph"/>
        <w:numPr>
          <w:ilvl w:val="0"/>
          <w:numId w:val="1"/>
        </w:numPr>
        <w:spacing w:after="80"/>
      </w:pPr>
      <w:r>
        <w:rPr>
          <w:rFonts w:ascii="Calibri" w:cs="Calibri" w:eastAsia="Calibri" w:hAnsi="Calibri"/>
          <w:sz w:val="22"/>
          <w:szCs w:val="22"/>
        </w:rPr>
        <w:t xml:space="preserve">IP-let op: "aggregate", "consistentiegrens" en "invariant" zijn feitelijk vrije Evans/Vernon-begrippen. Dit deel introduceert geen nagetekend diagram of voorbeeldcode uit Evans of Vernon — de figuren (18-1 t/m 18-5) en de casus zijn eigen werk, met een eigen werkvorm (de grenzentoets) die niet één-op-één een bestaand, uitgegeven sjabloon volgt.</w:t>
      </w:r>
    </w:p>
    <w:p>
      <w:pPr>
        <w:pStyle w:val="ListParagraph"/>
        <w:numPr>
          <w:ilvl w:val="0"/>
          <w:numId w:val="1"/>
        </w:numPr>
        <w:spacing w:after="80"/>
      </w:pPr>
      <w:r>
        <w:rPr>
          <w:rFonts w:ascii="Calibri" w:cs="Calibri" w:eastAsia="Calibri" w:hAnsi="Calibri"/>
          <w:sz w:val="22"/>
          <w:szCs w:val="22"/>
        </w:rPr>
        <w:t xml:space="preserve">Bewaar de twee ingevulde grenzentoetsen (dienstverband, termijnbewaking) voor gebruik in deel 19 en deel 21: deel 19 kiest per relatie uit de context map een architectuurpatroon, en de gesplitste aggregates uit dit deel zijn direct materiaal voor die keuze; deel 21 werkt het "signaal" uit §18.5 uit tot een volwaardig domain event.</w:t>
      </w:r>
    </w:p>
    <w:p>
      <w:pPr>
        <w:pStyle w:val="ListParagraph"/>
        <w:numPr>
          <w:ilvl w:val="0"/>
          <w:numId w:val="1"/>
        </w:numPr>
        <w:spacing w:after="80"/>
      </w:pPr>
      <w:r>
        <w:rPr>
          <w:rFonts w:ascii="Calibri" w:cs="Calibri" w:eastAsia="Calibri" w:hAnsi="Calibri"/>
          <w:sz w:val="22"/>
          <w:szCs w:val="22"/>
        </w:rPr>
        <w:t xml:space="preserve">Kondig aan het eind van dit deel expliciet aan dat deel 19 twee dagdelen beslaat en de vraag beantwoordt hoe de nu gescheiden aggregates, gescheiden lezen/schrijven en gescheiden teams zich binnen één technische architectuur tot elkaar verhouden — zodat deelnemers begrijpen dat de scheiding van dit deel geen eindpunt is, maar een noodzakelijke stap vóór deel 19.</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2026-08-16T19:18:47.353Z</dcterms:created>
  <dcterms:modified xsi:type="dcterms:W3CDTF">2026-08-16T19:18:47.353Z</dcterms:modified>
</cp:coreProperties>
</file>

<file path=docProps/custom.xml><?xml version="1.0" encoding="utf-8"?>
<Properties xmlns="http://schemas.openxmlformats.org/officeDocument/2006/custom-properties" xmlns:vt="http://schemas.openxmlformats.org/officeDocument/2006/docPropsVTypes"/>
</file>