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18 — Aggregates herzien: consistentiegrenzen bij meerdere teams</w:t>
      </w:r>
    </w:p>
    <w:p>
      <w:pPr>
        <w:spacing w:after="140" w:line="300"/>
      </w:pPr>
      <w:r>
        <w:rPr>
          <w:rFonts w:ascii="Calibri" w:cs="Calibri" w:eastAsia="Calibri" w:hAnsi="Calibri"/>
          <w:b w:val="false"/>
          <w:bCs w:val="false"/>
          <w:i w:val="false"/>
          <w:iCs w:val="false"/>
          <w:sz w:val="22"/>
          <w:szCs w:val="22"/>
        </w:rPr>
        <w:t xml:space="preserve">Werkboek · Ductus-cursus Domain-Driven Design · niveau 2 · deel 18 van 30</w:t>
      </w:r>
    </w:p>
    <w:p>
      <w:pPr>
        <w:spacing w:after="140" w:line="300"/>
      </w:pPr>
      <w:r>
        <w:rPr>
          <w:rFonts w:ascii="Calibri" w:cs="Calibri" w:eastAsia="Calibri" w:hAnsi="Calibri"/>
          <w:b w:val="false"/>
          <w:bCs w:val="false"/>
          <w:i w:val="false"/>
          <w:iCs w:val="false"/>
          <w:sz w:val="22"/>
          <w:szCs w:val="22"/>
        </w:rPr>
        <w:t xml:space="preserve">Tien opdrachten. De eerste helft (1 t/m 5) werkt de dienstverband-aggregate uit met de grenzentoets, de tweede helft (6 t/m 10) werkt de termijnbewaking uit en oefent het onderscheid tussen de twee herzieningsrichtingen.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18-A — De grenzentoets in het kort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Stap</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Vraag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Welke aggregate, welke invariant?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Wie schrijft er daadwerkelijk in?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Eén team → verder naar stap 4. Meerdere teams → richting 1 (splitsen) of richting 2 (bestuurde shared kernel)?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Hoe bereiken gescheiden aggregates elkaar?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 het verschil maakt: welk incident voorkomt deze herziening, en hoe lang duurt het voordat iemand het anders zou merken?</w:t>
            </w:r>
          </w:p>
        </w:tc>
      </w:tr>
    </w:tbl>
    <w:p>
      <w:pPr>
        <w:pStyle w:val="Heading2"/>
        <w:spacing w:after="120" w:before="200"/>
      </w:pPr>
      <w:r>
        <w:rPr>
          <w:rFonts w:ascii="Georgia" w:cs="Georgia" w:eastAsia="Georgia" w:hAnsi="Georgia"/>
          <w:b/>
          <w:bCs/>
          <w:color w:val="2C5AA0"/>
          <w:sz w:val="28"/>
          <w:szCs w:val="28"/>
        </w:rPr>
        <w:t xml:space="preserve">Dossierstuk 18-B — De dienstverband-aggregate vóór herziening (§18.2)</w:t>
      </w:r>
    </w:p>
    <w:p>
      <w:pPr>
        <w:pStyle w:val="ListParagraph"/>
        <w:numPr>
          <w:ilvl w:val="0"/>
          <w:numId w:val="1"/>
        </w:numPr>
        <w:spacing w:after="80"/>
      </w:pPr>
      <w:r>
        <w:rPr>
          <w:rFonts w:ascii="Calibri" w:cs="Calibri" w:eastAsia="Calibri" w:hAnsi="Calibri"/>
          <w:sz w:val="22"/>
          <w:szCs w:val="22"/>
        </w:rPr>
        <w:t xml:space="preserve">**Aggregate:** dienstverband (percentage, ingangsdatum, status)</w:t>
      </w:r>
    </w:p>
    <w:p>
      <w:pPr>
        <w:pStyle w:val="ListParagraph"/>
        <w:numPr>
          <w:ilvl w:val="0"/>
          <w:numId w:val="1"/>
        </w:numPr>
        <w:spacing w:after="80"/>
      </w:pPr>
      <w:r>
        <w:rPr>
          <w:rFonts w:ascii="Calibri" w:cs="Calibri" w:eastAsia="Calibri" w:hAnsi="Calibri"/>
          <w:sz w:val="22"/>
          <w:szCs w:val="22"/>
        </w:rPr>
        <w:t xml:space="preserve">**Schrijft rechtstreeks in:** het KERN-team (authentieke registratie) én het Mutatieplatform-team (verwerking van deeltijdwijzigingen), onafhankelijk van elkaar</w:t>
      </w:r>
    </w:p>
    <w:p>
      <w:pPr>
        <w:pStyle w:val="ListParagraph"/>
        <w:numPr>
          <w:ilvl w:val="0"/>
          <w:numId w:val="1"/>
        </w:numPr>
        <w:spacing w:after="80"/>
      </w:pPr>
      <w:r>
        <w:rPr>
          <w:rFonts w:ascii="Calibri" w:cs="Calibri" w:eastAsia="Calibri" w:hAnsi="Calibri"/>
          <w:sz w:val="22"/>
          <w:szCs w:val="22"/>
        </w:rPr>
        <w:t xml:space="preserve">**Incident:** twee deelprojecten met tegenstrijdige aannames — een deeltijdwijziging als nieuw dienstverband (Mutatieplatform) versus als ononderbroken doorlopend dienstverband met gewijzigd percentage (KERN) — botsen pas bij daadwerkelijke data-uitwisseling, na twee maanden bouwwerk</w:t>
      </w:r>
    </w:p>
    <w:p>
      <w:pPr>
        <w:pStyle w:val="Heading2"/>
        <w:spacing w:after="120" w:before="200"/>
      </w:pPr>
      <w:r>
        <w:rPr>
          <w:rFonts w:ascii="Georgia" w:cs="Georgia" w:eastAsia="Georgia" w:hAnsi="Georgia"/>
          <w:b/>
          <w:bCs/>
          <w:color w:val="2C5AA0"/>
          <w:sz w:val="28"/>
          <w:szCs w:val="28"/>
        </w:rPr>
        <w:t xml:space="preserve">Dossierstuk 18-C — De termijnbewaking vóór herziening (§18.5)</w:t>
      </w:r>
    </w:p>
    <w:p>
      <w:pPr>
        <w:pStyle w:val="ListParagraph"/>
        <w:numPr>
          <w:ilvl w:val="0"/>
          <w:numId w:val="1"/>
        </w:numPr>
        <w:spacing w:after="80"/>
      </w:pPr>
      <w:r>
        <w:rPr>
          <w:rFonts w:ascii="Calibri" w:cs="Calibri" w:eastAsia="Calibri" w:hAnsi="Calibri"/>
          <w:sz w:val="22"/>
          <w:szCs w:val="22"/>
        </w:rPr>
        <w:t xml:space="preserve">**Aggregate (voorlopig, uit deel 16):** dienstverband, met daarbinnen het huidige percentage én de vraag of een tijdelijke wijziging op tijd is teruggedraaid</w:t>
      </w:r>
    </w:p>
    <w:p>
      <w:pPr>
        <w:pStyle w:val="ListParagraph"/>
        <w:numPr>
          <w:ilvl w:val="0"/>
          <w:numId w:val="1"/>
        </w:numPr>
        <w:spacing w:after="80"/>
      </w:pPr>
      <w:r>
        <w:rPr>
          <w:rFonts w:ascii="Calibri" w:cs="Calibri" w:eastAsia="Calibri" w:hAnsi="Calibri"/>
          <w:sz w:val="22"/>
          <w:szCs w:val="22"/>
        </w:rPr>
        <w:t xml:space="preserve">**Probleem (Vera's observatie, deel 17 §17.7):** de controle op tijdige terugkeer is een invariant over tíjd, niet over de actuele staat van het dienstverband — ze hoort niet vanzelfsprekend bij dezelfde bewaker</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DEEL A — De dienstverband-aggregate</w:t>
      </w:r>
    </w:p>
    <w:p>
      <w:pPr>
        <w:pStyle w:val="Heading2"/>
        <w:spacing w:after="120" w:before="200"/>
      </w:pPr>
      <w:r>
        <w:rPr>
          <w:rFonts w:ascii="Georgia" w:cs="Georgia" w:eastAsia="Georgia" w:hAnsi="Georgia"/>
          <w:b/>
          <w:bCs/>
          <w:color w:val="2C5AA0"/>
          <w:sz w:val="28"/>
          <w:szCs w:val="28"/>
        </w:rPr>
        <w:t xml:space="preserve">Opdracht 1 — Het verschil met deel 6 benoemen (10 min, plenair)</w:t>
      </w:r>
    </w:p>
    <w:p>
      <w:pPr>
        <w:spacing w:after="140" w:line="300"/>
      </w:pPr>
      <w:r>
        <w:rPr>
          <w:rFonts w:ascii="Calibri" w:cs="Calibri" w:eastAsia="Calibri" w:hAnsi="Calibri"/>
          <w:b w:val="false"/>
          <w:bCs w:val="false"/>
          <w:i w:val="false"/>
          <w:iCs w:val="false"/>
          <w:sz w:val="22"/>
          <w:szCs w:val="22"/>
        </w:rPr>
        <w:t xml:space="preserve">In deel 6 was de centrale vraag: "welke wijzigingen moeten gegarandeerd samen kloppen?" Dit deel voegt een vraag toe die daaraan voorafgaat. Formuleer die vraag in eigen woorden, en leg uit waarom deel 6 haar niet nodig had.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Stap 1 en 2 van de grenzentoets zelf invullen (15 min, tweetallen)</w:t>
      </w:r>
    </w:p>
    <w:p>
      <w:pPr>
        <w:spacing w:after="140" w:line="300"/>
      </w:pPr>
      <w:r>
        <w:rPr>
          <w:rFonts w:ascii="Calibri" w:cs="Calibri" w:eastAsia="Calibri" w:hAnsi="Calibri"/>
          <w:b w:val="false"/>
          <w:bCs w:val="false"/>
          <w:i w:val="false"/>
          <w:iCs w:val="false"/>
          <w:sz w:val="22"/>
          <w:szCs w:val="22"/>
        </w:rPr>
        <w:t xml:space="preserve">Vul, zonder eerst §18.2 opnieuw te lezen, stap 1 en 2 van de grenzentoets in voor de dienstverband-aggregate op basis van dossierstuk 18-B. Vergelijk daarna met de reader: heb je dezelfde invariant en dezelfde twee schrijvers geïdentificeerd?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Richting 1 of richting 2? (20 min, groepjes van drie tot vier)</w:t>
      </w:r>
    </w:p>
    <w:p>
      <w:pPr>
        <w:spacing w:after="140" w:line="300"/>
      </w:pPr>
      <w:r>
        <w:rPr>
          <w:rFonts w:ascii="Calibri" w:cs="Calibri" w:eastAsia="Calibri" w:hAnsi="Calibri"/>
          <w:b w:val="false"/>
          <w:bCs w:val="false"/>
          <w:i w:val="false"/>
          <w:iCs w:val="false"/>
          <w:sz w:val="22"/>
          <w:szCs w:val="22"/>
        </w:rPr>
        <w:t xml:space="preserve">Reader §18.4 beschrijft twee richtingen: splitsen langs teamgrenzen, of de contextgrens heroverwegen als bewuste, bestuurde shared kernel. Beargumenteer, met het criterium uit §18.4 ("zou dit structureel hetzelfde blijven, of blijkt het bij uitsplitsen twee verschillende dingen te zijn"), waarom het team voor de dienstverband-aggregate voor richting 1 kiest en niet voor richting 2. Bedenk vervolgens zelf een ander voorbeeld uit het Meridiaan-landschap (verzonnen of uit een eerder deel) waarbij richting 2 wél de juiste keuze zou zijn, en leg uit waarom.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De splitsing zelf tekenen (20 min, groepjes van drie tot vier)</w:t>
      </w:r>
    </w:p>
    <w:p>
      <w:pPr>
        <w:spacing w:after="140" w:line="300"/>
      </w:pPr>
      <w:r>
        <w:rPr>
          <w:rFonts w:ascii="Calibri" w:cs="Calibri" w:eastAsia="Calibri" w:hAnsi="Calibri"/>
          <w:b w:val="false"/>
          <w:bCs w:val="false"/>
          <w:i w:val="false"/>
          <w:iCs w:val="false"/>
          <w:sz w:val="22"/>
          <w:szCs w:val="22"/>
        </w:rPr>
        <w:t xml:space="preserve">Teken (op papier of digitaal) de situatie ná splitsing: de dienstverband-aggregate bij KERN, de mutatieverwerking-aggregate bij het Mutatieplatform, en de verwijzing ertussen. Benoem expliciet welke invariant elk van de twee aggregates zelfstandig bewaakt, en waarom geen van beide meer rechtstreeks in de ander hoeft te schrijven.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Het vijfde veld toepassen (15 min, plenair)</w:t>
      </w:r>
    </w:p>
    <w:p>
      <w:pPr>
        <w:spacing w:after="140" w:line="300"/>
      </w:pPr>
      <w:r>
        <w:rPr>
          <w:rFonts w:ascii="Calibri" w:cs="Calibri" w:eastAsia="Calibri" w:hAnsi="Calibri"/>
          <w:b w:val="false"/>
          <w:bCs w:val="false"/>
          <w:i w:val="false"/>
          <w:iCs w:val="false"/>
          <w:sz w:val="22"/>
          <w:szCs w:val="22"/>
        </w:rPr>
        <w:t xml:space="preserve">Reader §18.7 beschrijft het afsluitende veld: welk incident voorkomt deze herziening, en hoe lang duurt het voordat iemand het anders zou merken. Pas dit veld toe op je eigen splitsing uit opdracht 4: welk incident zou zich, zonder deze herziening, over bijvoorbeeld zes maanden opnieuw kunnen voordoen, en wie zou het als eerste merken?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DEEL B — De termijnbewaking en de twee richtingen</w:t>
      </w:r>
    </w:p>
    <w:p>
      <w:pPr>
        <w:pStyle w:val="Heading2"/>
        <w:spacing w:after="120" w:before="200"/>
      </w:pPr>
      <w:r>
        <w:rPr>
          <w:rFonts w:ascii="Georgia" w:cs="Georgia" w:eastAsia="Georgia" w:hAnsi="Georgia"/>
          <w:b/>
          <w:bCs/>
          <w:color w:val="2C5AA0"/>
          <w:sz w:val="28"/>
          <w:szCs w:val="28"/>
        </w:rPr>
        <w:t xml:space="preserve">Opdracht 6 — Waarom dit geen cross-team-conflict is, maar wel hetzelfde patroon (15 min, tweetallen)</w:t>
      </w:r>
    </w:p>
    <w:p>
      <w:pPr>
        <w:spacing w:after="140" w:line="300"/>
      </w:pPr>
      <w:r>
        <w:rPr>
          <w:rFonts w:ascii="Calibri" w:cs="Calibri" w:eastAsia="Calibri" w:hAnsi="Calibri"/>
          <w:b w:val="false"/>
          <w:bCs w:val="false"/>
          <w:i w:val="false"/>
          <w:iCs w:val="false"/>
          <w:sz w:val="22"/>
          <w:szCs w:val="22"/>
        </w:rPr>
        <w:t xml:space="preserve">Reader §18.5 stelt dat de termijnbewaking geen conflict tussen twee teams is, maar wel dezelfde onderliggende vraag oproept als de dienstverband-aggregate. Leg in eigen woorden uit welke vraag dat is, en waarom die vraag ook opgaat wanneer er maar één team bij betrokken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De termijnbewaking als eigen aggregate motiveren (20 min, groepjes van drie tot vier)</w:t>
      </w:r>
    </w:p>
    <w:p>
      <w:pPr>
        <w:spacing w:after="140" w:line="300"/>
      </w:pPr>
      <w:r>
        <w:rPr>
          <w:rFonts w:ascii="Calibri" w:cs="Calibri" w:eastAsia="Calibri" w:hAnsi="Calibri"/>
          <w:b w:val="false"/>
          <w:bCs w:val="false"/>
          <w:i w:val="false"/>
          <w:iCs w:val="false"/>
          <w:sz w:val="22"/>
          <w:szCs w:val="22"/>
        </w:rPr>
        <w:t xml:space="preserve">Vul de grenzentoets in voor de termijnbewaking uit dossierstuk 18-C: welke invariant bewaakt ze zelfstandig, waarom hoort die niet bij de dienstverband-aggregate, en hoe bereikt ze de dienstverband-aggregate op het moment dat het ertoe doet (stap 4)?</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8 — Een derde geval verzinnen (20 min, groepjes van drie tot vier)</w:t>
      </w:r>
    </w:p>
    <w:p>
      <w:pPr>
        <w:spacing w:after="140" w:line="300"/>
      </w:pPr>
      <w:r>
        <w:rPr>
          <w:rFonts w:ascii="Calibri" w:cs="Calibri" w:eastAsia="Calibri" w:hAnsi="Calibri"/>
          <w:b w:val="false"/>
          <w:bCs w:val="false"/>
          <w:i w:val="false"/>
          <w:iCs w:val="false"/>
          <w:sz w:val="22"/>
          <w:szCs w:val="22"/>
        </w:rPr>
        <w:t xml:space="preserve">Bedenk, uit het Meridiaan-landschap of verzonnen, een derde geval waarin een aggregate die binnen één team goed werkte, bij uitbreiding naar een tweede team of een tweede tijdshorizon niet meer houdbaar blijkt. Doorloop de vier stappen van de grenzentoets voor je eigen voorbeeld.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9 — Wanneer een shared kernel wél de juiste keuze is (15 min, plenair)</w:t>
      </w:r>
    </w:p>
    <w:p>
      <w:pPr>
        <w:spacing w:after="140" w:line="300"/>
      </w:pPr>
      <w:r>
        <w:rPr>
          <w:rFonts w:ascii="Calibri" w:cs="Calibri" w:eastAsia="Calibri" w:hAnsi="Calibri"/>
          <w:b w:val="false"/>
          <w:bCs w:val="false"/>
          <w:i w:val="false"/>
          <w:iCs w:val="false"/>
          <w:sz w:val="22"/>
          <w:szCs w:val="22"/>
        </w:rPr>
        <w:t xml:space="preserve">Reader §18.4 en Vera's woorden in §18.2 stellen dat een shared kernel geen verboden relatie is, maar een bewust bestuurde. Bedenk twee concrete bestuursmaatregelen (bijvoorbeeld: één gezamenlijk team, een vaste afstemmingsroute, een gedeeld reviewproces) die een shared kernel tussen KERN en het Mutatieplatform draaglijk zouden maken, mócht het team in een ander geval voor richting 2 kiezen in plaats van richting 1.</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10 — Iris' vraag beantwoorden (20 min, groepjes van drie tot vier)</w:t>
      </w:r>
    </w:p>
    <w:p>
      <w:pPr>
        <w:spacing w:after="140" w:line="300"/>
      </w:pPr>
      <w:r>
        <w:rPr>
          <w:rFonts w:ascii="Calibri" w:cs="Calibri" w:eastAsia="Calibri" w:hAnsi="Calibri"/>
          <w:b w:val="false"/>
          <w:bCs w:val="false"/>
          <w:i w:val="false"/>
          <w:iCs w:val="false"/>
          <w:sz w:val="22"/>
          <w:szCs w:val="22"/>
        </w:rPr>
        <w:t xml:space="preserve">Reader §18.8 eindigt met Iris' vraag aan Daan: hoe voorkomen we dat dit over een half jaar, met een ander begrip, gewoon weer gebeurt? Daan heeft daar op dat moment nog geen volledig antwoord op. Formuleer, op basis van wat je in dit deel hebt geleerd, een eerste, voorlopig antwoord — met het besef dat het volledige antwoord pas in deel 20 volgt.</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spacing w:after="140" w:line="300"/>
      </w:pPr>
      <w:r>
        <w:rPr>
          <w:rFonts w:ascii="Calibri" w:cs="Calibri" w:eastAsia="Calibri" w:hAnsi="Calibri"/>
          <w:b w:val="false"/>
          <w:bCs w:val="false"/>
          <w:i w:val="false"/>
          <w:iCs w:val="false"/>
          <w:sz w:val="22"/>
          <w:szCs w:val="22"/>
        </w:rPr>
        <w:t xml:space="preserve">De vraag die dit deel toevoegt: "wie kan deze consistentiegarantie in de praktijk waarmaken — is er precies één bewaker?" Deel 6 had die vraag niet nodig omdat er bij het Nabestaandenloket vanzelfsprekend precies één team was; de vraag "wat moet samen kloppen" veronderstelde stilzwijgend al dat er één partij was die dat kon bewaken. Op landschapsschaal, met meerdere onafhankelijk werkende teams, is die vooronderstelling niet langer geldig en moet ze expliciet worden getoetst.</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Geen vaste uitwerking. Verwacht: invariant — een dienstverband heeft op elk moment een geldig percentage en een geldige status; schrijvers — het KERN-team en het Mutatieplatform-team, onafhankelijk van elkaar. Een groep die hier al onderscheid maakt tussen "wie leest" en "wie schrijft" loopt al vooruit op §18.4 — een goed teken, geen fout.</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Richting 1 is passend omdat de twee teams, bij nadere inspectie, niet werkelijk dezelfde invariant bewaken: KERN bewaakt de authentieke registratie, het Mutatieplatform bewaakt de validiteit van een binnenkomende mutatie op basis van een momentopname — twee verschillende zorgen die toevallig over hetzelfde begrip gaan. Richting 2 zou passend zijn geweest als beide teams structureel, op elk detail, exact dezelfde regels moeten blijven volgen, zonder dat een van beide zelfstandig zou kunnen werken op basis van een eigen, afgeleide versie. Een plausibel eigen voorbeeld voor richting 2: als het Mutatieplatform en KERN ooit een volledig identieke rekenregel voor pensioenopbouw zouden moeten delen, waarbij elke wijziging aan die regel voor beide systemen tegelijk en identiek moet gelden — dat is een kandidaat voor een bewust bestuurde shared kernel met één gezamenlijk team, omdat splitsen hier juist het risico op divergentie zou vergroten in plaats van verkleinen.</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Geen vaste uitwerking. Een goede tekening toont: de dienstverband-aggregate bij KERN die zelfstandig de eigen invariant (geldig percentage, geldige ingangsdatum) bewaakt; de mutatieverwerking-aggregate bij het Mutatieplatform die zelfstandig de eigen invariant (een binnenkomende mutatie voldoet aan validatieregels, gegeven een momentopname van het dienstverband) bewaakt; en een verwijzing (identiteit plus versie) van de tweede naar de eerste, zonder schrijftoegang in beide richtingen.</w:t>
      </w:r>
    </w:p>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Geen vaste uitwerking. Een goed antwoord benoemt een concreet incident (bijvoorbeeld: een derde deelproject dat, net als bij de oorspronkelijke botsing, een eigen aanname doet over wat een dienstverband is) en een concreet moment waarop het pas zichtbaar wordt (typisch pas bij daadwerkelijke data-uitwisseling tussen systemen, na weken of maanden bouwwerk — niet bij het schrijven van de code zelf).</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De onderliggende vraag is dezelfde als bij de dienstverband-aggregate: welke invariant hoort waar, en wie moet haar bewaken? Bij de termijnbewaking gaat het niet om twee teams die botsen, maar om twee soorten invarianten die ten onrechte binnen dezelfde grens zijn samengevoegd: een invariant over de huidige staat (het percentage nu) en een invariant over tijd (is de terugkeer op de afgesproken datum gebeurd). Ook binnen één team kan een aggregate te veel soorten verantwoordelijkheid dragen als ze niet allemaal op hetzelfde moment relevant zijn — dezelfde reden waarom deel 6 al waarschuwde tegen een te grote aggregate, nu toegepast op een verschil in tijdshorizon in plaats van een verschil in team.</w:t>
      </w:r>
    </w:p>
    <w:p>
      <w:pPr>
        <w:pStyle w:val="Heading2"/>
        <w:spacing w:after="120" w:before="200"/>
      </w:pPr>
      <w:r>
        <w:rPr>
          <w:rFonts w:ascii="Georgia" w:cs="Georgia" w:eastAsia="Georgia" w:hAnsi="Georgia"/>
          <w:b/>
          <w:bCs/>
          <w:color w:val="2C5AA0"/>
          <w:sz w:val="28"/>
          <w:szCs w:val="28"/>
        </w:rPr>
        <w:t xml:space="preserve">Uitwerking 7</w:t>
      </w:r>
    </w:p>
    <w:p>
      <w:pPr>
        <w:spacing w:after="140" w:line="300"/>
      </w:pPr>
      <w:r>
        <w:rPr>
          <w:rFonts w:ascii="Calibri" w:cs="Calibri" w:eastAsia="Calibri" w:hAnsi="Calibri"/>
          <w:b w:val="false"/>
          <w:bCs w:val="false"/>
          <w:i w:val="false"/>
          <w:iCs w:val="false"/>
          <w:sz w:val="22"/>
          <w:szCs w:val="22"/>
        </w:rPr>
        <w:t xml:space="preserve">Een verdedigbare uitwerking: invariant van de termijnbewaking — op de afgesproken datum moet het dienstverband zijn teruggekeerd naar het oorspronkelijke percentage; ze hoort niet bij de dienstverband-aggregate omdat die laatste alleen de huidige, geldige staat hoeft te bewaken en geen reden heeft om een toekomstige datum te onthouden en te bewaken; stap 4 — op de afgesproken datum stuurt de termijnbewaking een signaal, dat de dienstverband-aggregate opvolgt via zijn eigen, lokale invariant (controleren of het huidige percentage overeenkomt met het verwachte).</w:t>
      </w:r>
    </w:p>
    <w:p>
      <w:pPr>
        <w:pStyle w:val="Heading2"/>
        <w:spacing w:after="120" w:before="200"/>
      </w:pPr>
      <w:r>
        <w:rPr>
          <w:rFonts w:ascii="Georgia" w:cs="Georgia" w:eastAsia="Georgia" w:hAnsi="Georgia"/>
          <w:b/>
          <w:bCs/>
          <w:color w:val="2C5AA0"/>
          <w:sz w:val="28"/>
          <w:szCs w:val="28"/>
        </w:rPr>
        <w:t xml:space="preserve">Uitwerking 8</w:t>
      </w:r>
    </w:p>
    <w:p>
      <w:pPr>
        <w:spacing w:after="140" w:line="300"/>
      </w:pPr>
      <w:r>
        <w:rPr>
          <w:rFonts w:ascii="Calibri" w:cs="Calibri" w:eastAsia="Calibri" w:hAnsi="Calibri"/>
          <w:b w:val="false"/>
          <w:bCs w:val="false"/>
          <w:i w:val="false"/>
          <w:iCs w:val="false"/>
          <w:sz w:val="22"/>
          <w:szCs w:val="22"/>
        </w:rPr>
        <w:t xml:space="preserve">Geen vaste uitwerking. Een plausibel derde geval: de aggregate rond een scheidingsmelding (uit deel 16-17) die binnen het Nabestaandenloket-team goed werkte omdat er één partij het recht op partnerpensioen vaststelde, maar die bij uitbreiding naar het Mutatieplatform — waar een tweede team scheidingssignalen wil gebruiken om waardeoverdracht te triggeren — mogelijk twee onafhankelijke invarianten blijkt te bevatten die niet meer door één grens gedekt kunnen worden.</w:t>
      </w:r>
    </w:p>
    <w:p>
      <w:pPr>
        <w:pStyle w:val="Heading2"/>
        <w:spacing w:after="120" w:before="200"/>
      </w:pPr>
      <w:r>
        <w:rPr>
          <w:rFonts w:ascii="Georgia" w:cs="Georgia" w:eastAsia="Georgia" w:hAnsi="Georgia"/>
          <w:b/>
          <w:bCs/>
          <w:color w:val="2C5AA0"/>
          <w:sz w:val="28"/>
          <w:szCs w:val="28"/>
        </w:rPr>
        <w:t xml:space="preserve">Uitwerking 9</w:t>
      </w:r>
    </w:p>
    <w:p>
      <w:pPr>
        <w:spacing w:after="140" w:line="300"/>
      </w:pPr>
      <w:r>
        <w:rPr>
          <w:rFonts w:ascii="Calibri" w:cs="Calibri" w:eastAsia="Calibri" w:hAnsi="Calibri"/>
          <w:b w:val="false"/>
          <w:bCs w:val="false"/>
          <w:i w:val="false"/>
          <w:iCs w:val="false"/>
          <w:sz w:val="22"/>
          <w:szCs w:val="22"/>
        </w:rPr>
        <w:t xml:space="preserve">Twee plausibele maatregelen: (1) één gezamenlijk, uit beide teams samengesteld team dat de gedeelde kernel onderhoudt, met een gezamenlijke planning in plaats van twee losse releaseritmes; (2) een vaste afstemmingsroute — bijvoorbeeld een verplichte gezamenlijke review vóór elke wijziging aan het gedeelde stuk, met een vetorecht voor beide kanten — zodat een wijziging nooit eenzijdig wordt doorgevoerd, ook niet per ongeluk.</w:t>
      </w:r>
    </w:p>
    <w:p>
      <w:pPr>
        <w:pStyle w:val="Heading2"/>
        <w:spacing w:after="120" w:before="200"/>
      </w:pPr>
      <w:r>
        <w:rPr>
          <w:rFonts w:ascii="Georgia" w:cs="Georgia" w:eastAsia="Georgia" w:hAnsi="Georgia"/>
          <w:b/>
          <w:bCs/>
          <w:color w:val="2C5AA0"/>
          <w:sz w:val="28"/>
          <w:szCs w:val="28"/>
        </w:rPr>
        <w:t xml:space="preserve">Uitwerking 10</w:t>
      </w:r>
    </w:p>
    <w:p>
      <w:pPr>
        <w:spacing w:after="140" w:line="300"/>
      </w:pPr>
      <w:r>
        <w:rPr>
          <w:rFonts w:ascii="Calibri" w:cs="Calibri" w:eastAsia="Calibri" w:hAnsi="Calibri"/>
          <w:b w:val="false"/>
          <w:bCs w:val="false"/>
          <w:i w:val="false"/>
          <w:iCs w:val="false"/>
          <w:sz w:val="22"/>
          <w:szCs w:val="22"/>
        </w:rPr>
        <w:t xml:space="preserve">Geen vaste uitwerking. Een plausibel voorlopig antwoord: het patroon herkennen zodra een nieuw begrip op het snijvlak van twee bounded contexts opduikt, en dan bewust, vóór de bouw begint, de grenzentoets toepassen in plaats van pas ná een botsing — een aanpak die iets zegt over het proces, maar nog niets over hoe het programma zelf is ingericht om dat proces ook daadwerkelijk op tijd te laten gebeuren. Dat laatste — de vraag of de programmastructuur zelf dit soort signalen op tijd laat opborrelen — is precies wat deel 20 behandelt.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2026-08-16T19:18:47.327Z</dcterms:created>
  <dcterms:modified xsi:type="dcterms:W3CDTF">2026-08-16T19:18:47.327Z</dcterms:modified>
</cp:coreProperties>
</file>

<file path=docProps/custom.xml><?xml version="1.0" encoding="utf-8"?>
<Properties xmlns="http://schemas.openxmlformats.org/officeDocument/2006/custom-properties" xmlns:vt="http://schemas.openxmlformats.org/officeDocument/2006/docPropsVTypes"/>
</file>