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19 — Applicatie-architectuurpatronen: hexagonaal, gelaagd, CQRS als patroon</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19 van 30 · twee dagdelen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19 is, samen met deel 15, een van de twee delen in deze cursus die het familiemodel bewust twee dagdelen toekent. Waar deel 15 die ruimte nodig heeft omdat EventStorming alleen door zelf faciliteren wordt geleerd, heeft dit deel de ruimte nodig om een andere reden: dit is, zoals het opzetdocument expliciet vaststelt, het deel waar de meeste teams in de praktijk een architectuurpatroon kiezen zonder de achterliggende afweging te kennen. Een deel dat hexagonaal, gelaagd en CQRS in 3,5 uur zou behandelen, zou onvermijdelijk uitkomen bij "hier zijn drie patronen, kies er een" — precies het gedrag dat dit deel wil doorbreken.</w:t>
      </w:r>
    </w:p>
    <w:p>
      <w:pPr>
        <w:spacing w:after="140" w:line="300"/>
      </w:pPr>
      <w:r>
        <w:rPr>
          <w:rFonts w:ascii="Calibri" w:cs="Calibri" w:eastAsia="Calibri" w:hAnsi="Calibri"/>
          <w:b w:val="false"/>
          <w:bCs w:val="false"/>
          <w:i w:val="false"/>
          <w:iCs w:val="false"/>
          <w:sz w:val="22"/>
          <w:szCs w:val="22"/>
        </w:rPr>
        <w:t xml:space="preserve">Het deel bouwt rechtstreeks voort op deel 18: de aggregaatgrenzen die daar bewust zijn getekend (de gesplitste dienstverband- en mutatieverwerking-aggregate, de termijnbewaking) zijn het startmateriaal voor dagdeel A. Begin dit deel dus niet los van deel 18 — deelnemers die deel 18 niet vers hebben, hebben minstens de twee ingevulde grenzentoetsen (dienstverband, termijnbewaking) nodig om Otto's openingsvraag ("waar bestaat deze grens in de code?") concreet te kunnen plaatsen.</w:t>
      </w:r>
    </w:p>
    <w:p>
      <w:pPr>
        <w:pStyle w:val="ListParagraph"/>
        <w:numPr>
          <w:ilvl w:val="0"/>
          <w:numId w:val="1"/>
        </w:numPr>
        <w:spacing w:after="80"/>
      </w:pPr>
      <w:r>
        <w:rPr>
          <w:rFonts w:ascii="Calibri" w:cs="Calibri" w:eastAsia="Calibri" w:hAnsi="Calibri"/>
          <w:sz w:val="22"/>
          <w:szCs w:val="22"/>
        </w:rPr>
        <w:t xml:space="preserve">**Module-onderdeel:** dit deel dekt letterlijk het curriculumonderdeel "applicatie-architectuurpatronen inclusief hexagonale architectuur, CQRS en gelaagde architectuur" uit de officiële iSAQB-moduleomschrijving — een van de weinige delen in deze cursus waar de aansluiting op het curriculum woordelijk overeenkomt. Behandel dit deel als examenrelevant voor het strategische deel van de module-toets (deel 22).</w:t>
      </w:r>
    </w:p>
    <w:p>
      <w:pPr>
        <w:pStyle w:val="ListParagraph"/>
        <w:numPr>
          <w:ilvl w:val="0"/>
          <w:numId w:val="1"/>
        </w:numPr>
        <w:spacing w:after="80"/>
      </w:pPr>
      <w:r>
        <w:rPr>
          <w:rFonts w:ascii="Calibri" w:cs="Calibri" w:eastAsia="Calibri" w:hAnsi="Calibri"/>
          <w:sz w:val="22"/>
          <w:szCs w:val="22"/>
        </w:rPr>
        <w:t xml:space="preserve">**Werkvorm:** het architectuurkeuzeblad.</w:t>
      </w:r>
    </w:p>
    <w:p>
      <w:pPr>
        <w:pStyle w:val="ListParagraph"/>
        <w:numPr>
          <w:ilvl w:val="0"/>
          <w:numId w:val="1"/>
        </w:numPr>
        <w:spacing w:after="80"/>
      </w:pPr>
      <w:r>
        <w:rPr>
          <w:rFonts w:ascii="Calibri" w:cs="Calibri" w:eastAsia="Calibri" w:hAnsi="Calibri"/>
          <w:sz w:val="22"/>
          <w:szCs w:val="22"/>
        </w:rPr>
        <w:t xml:space="preserve">**Duur:** twee dagdelen (circa 3,5 uur elk, met een pauze per dagdeel).</w:t>
      </w:r>
    </w:p>
    <w:p>
      <w:pPr>
        <w:pStyle w:val="ListParagraph"/>
        <w:numPr>
          <w:ilvl w:val="0"/>
          <w:numId w:val="1"/>
        </w:numPr>
        <w:spacing w:after="80"/>
      </w:pPr>
      <w:r>
        <w:rPr>
          <w:rFonts w:ascii="Calibri" w:cs="Calibri" w:eastAsia="Calibri" w:hAnsi="Calibri"/>
          <w:sz w:val="22"/>
          <w:szCs w:val="22"/>
        </w:rPr>
        <w:t xml:space="preserve">**Voorbereiding deelnemers:** deel 18 afgerond, met de twee ingevulde grenzentoetsen (dienstverband, termijnbewaking) als startmateriaal; kennis van de vijf systemen uit het casusdossier (§2).</w:t>
      </w:r>
    </w:p>
    <w:p>
      <w:pPr>
        <w:pStyle w:val="ListParagraph"/>
        <w:numPr>
          <w:ilvl w:val="0"/>
          <w:numId w:val="1"/>
        </w:numPr>
        <w:spacing w:after="80"/>
      </w:pPr>
      <w:r>
        <w:rPr>
          <w:rFonts w:ascii="Calibri" w:cs="Calibri" w:eastAsia="Calibri" w:hAnsi="Calibri"/>
          <w:sz w:val="22"/>
          <w:szCs w:val="22"/>
        </w:rPr>
        <w:t xml:space="preserve">**Materiaal vooraf regelen:** het invulblad van het architectuurkeuzeblad (dossierstuk 19-A) per groepje, per dagdeel; whiteboard of digitaal bord voor de schema's in opdracht 2, 4 en 7 (dagdeel A) en voor de plenaire verdediging (dagdeel B).</w:t>
      </w:r>
    </w:p>
    <w:p>
      <w:pPr>
        <w:pStyle w:val="Heading2"/>
        <w:spacing w:after="120" w:before="200"/>
      </w:pPr>
      <w:r>
        <w:rPr>
          <w:rFonts w:ascii="Georgia" w:cs="Georgia" w:eastAsia="Georgia" w:hAnsi="Georgia"/>
          <w:b/>
          <w:bCs/>
          <w:color w:val="2C5AA0"/>
          <w:sz w:val="28"/>
          <w:szCs w:val="28"/>
        </w:rPr>
        <w:t xml:space="preserve">2. Tijdschema — Dagdeel 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18: de gesplitste aggregates, en Otto's vraag waar die grens in code bestaat (§19.2)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Gelaagde architectuur (§19.3)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gelaagd en hexagonaal naast elkaar zetten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Hexagonale architectuur (§19.4)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Vera's erosie bij KERN diagnosticeren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criterium: risico, niet mode (§19.5) + opdracht 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architectuurkeuzeblad stap 1-2 voor het Mutatieplatform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hetzelfde voor het Werkgeversportaal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(kan vooraf of hier, als korte terugblik) + opdracht 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Plenaire vergelijking: drie systemen, drie verschillende risico's — voorbereiding op dagdeel B</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dagdeel B: waarom lezen en schrijven een eigen patroon verdienen</w:t>
            </w:r>
          </w:p>
        </w:tc>
      </w:tr>
    </w:tbl>
    <w:p>
      <w:pPr>
        <w:spacing w:after="140" w:line="300"/>
      </w:pPr>
      <w:r>
        <w:rPr>
          <w:rFonts w:ascii="Calibri" w:cs="Calibri" w:eastAsia="Calibri" w:hAnsi="Calibri"/>
          <w:b w:val="false"/>
          <w:bCs w:val="false"/>
          <w:i w:val="false"/>
          <w:iCs w:val="false"/>
          <w:sz w:val="22"/>
          <w:szCs w:val="22"/>
        </w:rPr>
        <w:t xml:space="preserve">Loop je uit vóór de pauze, dan is opdracht 2 de kandidaat om te verkorten tot een korte plenaire check — de inhoud komt sowieso terug zodra §19.4 wordt behandeld. Schrap nooit opdracht 4 of 5: het criterium "risico, niet mode" wordt hier voor het eerst zelf toegepast, en dat is de kern van dagdeel A.</w:t>
      </w:r>
    </w:p>
    <w:p>
      <w:pPr>
        <w:pStyle w:val="Heading2"/>
        <w:spacing w:after="120" w:before="200"/>
      </w:pPr>
      <w:r>
        <w:rPr>
          <w:rFonts w:ascii="Georgia" w:cs="Georgia" w:eastAsia="Georgia" w:hAnsi="Georgia"/>
          <w:b/>
          <w:bCs/>
          <w:color w:val="2C5AA0"/>
          <w:sz w:val="28"/>
          <w:szCs w:val="28"/>
        </w:rPr>
        <w:t xml:space="preserve">3. Tijdschema — Dagdeel B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dagdeel A + Priya en Karsten naast elkaar (§19.6)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 — de asymmetrie in twee zinnen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0:20-0:45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CQRS: wat het oplost (§19.7, eerste helft) + opdracht 9</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Wanneer CQRS overkill is, en waarom het geen "twee databases" is (§19.7, tweede helft)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10 en opdracht 11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**Kader: ↗ Uitvoering — het Locked Platform (§19.8)** + opdracht 12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architectuurkeuzeblad geïntroduceerd (§19.9) + opdracht 13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Korte toelichting op de toepassingscasus (§19.10)</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14 — de verdediging: twee systemen per groepje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de casus (§19.11), Iris' vraag, vooruitblik deel 20</w:t>
            </w:r>
          </w:p>
        </w:tc>
      </w:tr>
    </w:tbl>
    <w:p>
      <w:pPr>
        <w:spacing w:after="140" w:line="300"/>
      </w:pPr>
      <w:r>
        <w:rPr>
          <w:rFonts w:ascii="Calibri" w:cs="Calibri" w:eastAsia="Calibri" w:hAnsi="Calibri"/>
          <w:b w:val="false"/>
          <w:bCs w:val="false"/>
          <w:i w:val="false"/>
          <w:iCs w:val="false"/>
          <w:sz w:val="22"/>
          <w:szCs w:val="22"/>
        </w:rPr>
        <w:t xml:space="preserve">Loop je uit vóór de pauze in dagdeel B, dan kan opdracht 10 mondeling behandeld worden in plaats van als zelfstandige oefening — de kernboodschap (CQRS ≠ twee databases) staat sowieso in §19.7 en komt terug in de verdedigingsronde. Schrap nooit opdracht 14: dit is de opdracht waar het opzetdocument expliciet om vraagt — een architectuurkeuze die het team moet verdedigen voor twee van de vijf systemen — en de rest van het dagdeel bouwt daar naartoe.</w:t>
      </w:r>
    </w:p>
    <w:p>
      <w:pPr>
        <w:pStyle w:val="Heading2"/>
        <w:spacing w:after="120" w:before="200"/>
      </w:pPr>
      <w:r>
        <w:rPr>
          <w:rFonts w:ascii="Georgia" w:cs="Georgia" w:eastAsia="Georgia" w:hAnsi="Georgia"/>
          <w:b/>
          <w:bCs/>
          <w:color w:val="2C5AA0"/>
          <w:sz w:val="28"/>
          <w:szCs w:val="28"/>
        </w:rPr>
        <w:t xml:space="preserve">4. Didactische aanwijzingen</w:t>
      </w:r>
    </w:p>
    <w:p>
      <w:pPr>
        <w:spacing w:after="140" w:line="300"/>
      </w:pPr>
      <w:r>
        <w:rPr>
          <w:rFonts w:ascii="Calibri" w:cs="Calibri" w:eastAsia="Calibri" w:hAnsi="Calibri"/>
          <w:b/>
          <w:bCs/>
          <w:i w:val="false"/>
          <w:iCs w:val="false"/>
          <w:sz w:val="22"/>
          <w:szCs w:val="22"/>
        </w:rPr>
        <w:t xml:space="preserve">Otto's openingsvraag (dagdeel A, 0:00-0:15).</w:t>
      </w:r>
      <w:r>
        <w:rPr>
          <w:rFonts w:ascii="Calibri" w:cs="Calibri" w:eastAsia="Calibri" w:hAnsi="Calibri"/>
          <w:b w:val="false"/>
          <w:bCs w:val="false"/>
          <w:i w:val="false"/>
          <w:iCs w:val="false"/>
          <w:sz w:val="22"/>
          <w:szCs w:val="22"/>
        </w:rPr>
        <w:t xml:space="preserve"> Laat deelnemers eerst zelf benoemen waarom een grens die in deel 18 is vastgesteld, in de code kan worden omzeild, vóórdat je het als "architectuurprobleem" framet. De sprong van "een modelleerbeslissing" naar "een technische maatregel die die beslissing afdwingt" is de sprong die dit hele deel wil laten maken.</w:t>
      </w:r>
    </w:p>
    <w:p>
      <w:pPr>
        <w:spacing w:after="140" w:line="300"/>
      </w:pPr>
      <w:r>
        <w:rPr>
          <w:rFonts w:ascii="Calibri" w:cs="Calibri" w:eastAsia="Calibri" w:hAnsi="Calibri"/>
          <w:b/>
          <w:bCs/>
          <w:i w:val="false"/>
          <w:iCs w:val="false"/>
          <w:sz w:val="22"/>
          <w:szCs w:val="22"/>
        </w:rPr>
        <w:t xml:space="preserve">Gelaagd versus hexagonaal (§19.3-19.4).</w:t>
      </w:r>
      <w:r>
        <w:rPr>
          <w:rFonts w:ascii="Calibri" w:cs="Calibri" w:eastAsia="Calibri" w:hAnsi="Calibri"/>
          <w:b w:val="false"/>
          <w:bCs w:val="false"/>
          <w:i w:val="false"/>
          <w:iCs w:val="false"/>
          <w:sz w:val="22"/>
          <w:szCs w:val="22"/>
        </w:rPr>
        <w:t xml:space="preserve"> Het grootste risico in deze uitleg is dat deelnemers de twee patronen als concurrenten gaan zien in plaats van als antwoorden op verschillende risico's. Benadruk vanaf het begin dat vrijwel elk bestaand systeem al een vorm van lagen heeft (ook KERN), en dat de vraag dus niet is "lagen invoeren, ja of nee" maar "is dit voldoende, of is er een extra garantie nodig die hexagonaal biedt".</w:t>
      </w:r>
    </w:p>
    <w:p>
      <w:pPr>
        <w:spacing w:after="140" w:line="300"/>
      </w:pPr>
      <w:r>
        <w:rPr>
          <w:rFonts w:ascii="Calibri" w:cs="Calibri" w:eastAsia="Calibri" w:hAnsi="Calibri"/>
          <w:b/>
          <w:bCs/>
          <w:i w:val="false"/>
          <w:iCs w:val="false"/>
          <w:sz w:val="22"/>
          <w:szCs w:val="22"/>
        </w:rPr>
        <w:t xml:space="preserve">Opdracht 4 en het criterium "risico, niet mode".</w:t>
      </w:r>
      <w:r>
        <w:rPr>
          <w:rFonts w:ascii="Calibri" w:cs="Calibri" w:eastAsia="Calibri" w:hAnsi="Calibri"/>
          <w:b w:val="false"/>
          <w:bCs w:val="false"/>
          <w:i w:val="false"/>
          <w:iCs w:val="false"/>
          <w:sz w:val="22"/>
          <w:szCs w:val="22"/>
        </w:rPr>
        <w:t xml:space="preserve"> Dit is het scharnierpunt van dagdeel A. Groepen hebben de neiging hexagonaal te kiezen omdat het als geavanceerder aanvoelt, ook zonder een aantoonbaar risico. Vraag door: "welk concreet incident voorkomt deze keuze dat de andere keuze niet zou voorkomen?" Als een groep dat niet kan beantwoorden, is de kans groot dat de keuze op voorkeur berust, niet op risico.</w:t>
      </w:r>
    </w:p>
    <w:p>
      <w:pPr>
        <w:spacing w:after="140" w:line="300"/>
      </w:pPr>
      <w:r>
        <w:rPr>
          <w:rFonts w:ascii="Calibri" w:cs="Calibri" w:eastAsia="Calibri" w:hAnsi="Calibri"/>
          <w:b/>
          <w:bCs/>
          <w:i w:val="false"/>
          <w:iCs w:val="false"/>
          <w:sz w:val="22"/>
          <w:szCs w:val="22"/>
        </w:rPr>
        <w:t xml:space="preserve">Opdracht 6 (Werkgeversportaal).</w:t>
      </w:r>
      <w:r>
        <w:rPr>
          <w:rFonts w:ascii="Calibri" w:cs="Calibri" w:eastAsia="Calibri" w:hAnsi="Calibri"/>
          <w:b w:val="false"/>
          <w:bCs w:val="false"/>
          <w:i w:val="false"/>
          <w:iCs w:val="false"/>
          <w:sz w:val="22"/>
          <w:szCs w:val="22"/>
        </w:rPr>
        <w:t xml:space="preserve"> Let op dat "het litteken van WGP 2.0" als argument concreet wordt gemaakt. Een veelgemaakte fout is dat groepen het litteken aanhalen zonder het te vertalen naar een architectonisch risico — vraag door: "wat, precies, zou een te complexe architectuur bij het Werkgeversportaal doen mislukken op de manier waarop WGP 2.0 mislukte?"</w:t>
      </w:r>
    </w:p>
    <w:p>
      <w:pPr>
        <w:spacing w:after="140" w:line="300"/>
      </w:pPr>
      <w:r>
        <w:rPr>
          <w:rFonts w:ascii="Calibri" w:cs="Calibri" w:eastAsia="Calibri" w:hAnsi="Calibri"/>
          <w:b/>
          <w:bCs/>
          <w:i w:val="false"/>
          <w:iCs w:val="false"/>
          <w:sz w:val="22"/>
          <w:szCs w:val="22"/>
        </w:rPr>
        <w:t xml:space="preserve">§19.7 — CQRS.</w:t>
      </w:r>
      <w:r>
        <w:rPr>
          <w:rFonts w:ascii="Calibri" w:cs="Calibri" w:eastAsia="Calibri" w:hAnsi="Calibri"/>
          <w:b w:val="false"/>
          <w:bCs w:val="false"/>
          <w:i w:val="false"/>
          <w:iCs w:val="false"/>
          <w:sz w:val="22"/>
          <w:szCs w:val="22"/>
        </w:rPr>
        <w:t xml:space="preserve"> Behandel de twee waarschuwingen (overkill, geen synoniem voor twee databases) met evenveel nadruk als de uitleg van wat CQRS oplost. Deelnemers die net hebben geleerd wat CQRS is, hebben de neiging het overal te willen toepassen — dat is precies het gedrag dat Foppe's zin "CQRS is geen upgrade die elk systeem beter maakt" moet corrigeren. Laat opdracht 11 (Nabestaandenloket, drie signalen voor overkill) niet vervallen, ook niet bij tijdsdruk: dit is de opdracht die concreet laat zien dat "geen CQRS" een net zo geldige, onderbouwde uitkomst is als "wel CQRS".</w:t>
      </w:r>
    </w:p>
    <w:p>
      <w:pPr>
        <w:spacing w:after="140" w:line="300"/>
      </w:pPr>
      <w:r>
        <w:rPr>
          <w:rFonts w:ascii="Calibri" w:cs="Calibri" w:eastAsia="Calibri" w:hAnsi="Calibri"/>
          <w:b/>
          <w:bCs/>
          <w:i w:val="false"/>
          <w:iCs w:val="false"/>
          <w:sz w:val="22"/>
          <w:szCs w:val="22"/>
        </w:rPr>
        <w:t xml:space="preserve">§19.8 — het Locked Platform-kader.</w:t>
      </w:r>
      <w:r>
        <w:rPr>
          <w:rFonts w:ascii="Calibri" w:cs="Calibri" w:eastAsia="Calibri" w:hAnsi="Calibri"/>
          <w:b w:val="false"/>
          <w:bCs w:val="false"/>
          <w:i w:val="false"/>
          <w:iCs w:val="false"/>
          <w:sz w:val="22"/>
          <w:szCs w:val="22"/>
        </w:rPr>
        <w:t xml:space="preserve"> Dit is het </w:t>
      </w:r>
      <w:r>
        <w:rPr>
          <w:rFonts w:ascii="Calibri" w:cs="Calibri" w:eastAsia="Calibri" w:hAnsi="Calibri"/>
          <w:b/>
          <w:bCs/>
          <w:i w:val="false"/>
          <w:iCs w:val="false"/>
          <w:sz w:val="22"/>
          <w:szCs w:val="22"/>
        </w:rPr>
        <w:t xml:space="preserve">tweede en laatste gemarkeerde kader in de hele cursus</w:t>
      </w:r>
      <w:r>
        <w:rPr>
          <w:rFonts w:ascii="Calibri" w:cs="Calibri" w:eastAsia="Calibri" w:hAnsi="Calibri"/>
          <w:b w:val="false"/>
          <w:bCs w:val="false"/>
          <w:i w:val="false"/>
          <w:iCs w:val="false"/>
          <w:sz w:val="22"/>
          <w:szCs w:val="22"/>
        </w:rPr>
        <w:t xml:space="preserve"> waar het Locked Platform met naam wordt genoemd (naast deel 18 §18.6). Behandel het net zo terughoudend als in deel 18: lees het kader hardop voor of laat deelnemers het zelf lezen, ga niet in op de technische werking van toestandsmachines of de event store. Het doel is uitsluitend erkenning dat CQRS zich op meer dan één manier laat uitvoeren, met het Locked Platform als één consequent doorgevoerd voorbeeld naast lichtere varianten binnen één database. Verwijs vragen over de concrete werking naar de Toolbijlage. Dit is precies de grens die §4 van het opzetdocument voor dit deel bewaakt: CQRS wordt platformonafhankelijk als patroon behandeld — wat het oplost, wanneer het overkill is — met het Locked Platform op deze ene plek genoemd als uitvoeringsvorm, niet uitgelegd.</w:t>
      </w:r>
    </w:p>
    <w:p>
      <w:pPr>
        <w:spacing w:after="140" w:line="300"/>
      </w:pPr>
      <w:r>
        <w:rPr>
          <w:rFonts w:ascii="Calibri" w:cs="Calibri" w:eastAsia="Calibri" w:hAnsi="Calibri"/>
          <w:b/>
          <w:bCs/>
          <w:i w:val="false"/>
          <w:iCs w:val="false"/>
          <w:sz w:val="22"/>
          <w:szCs w:val="22"/>
        </w:rPr>
        <w:t xml:space="preserve">Opdracht 13 en 14 — de verdediging.</w:t>
      </w:r>
      <w:r>
        <w:rPr>
          <w:rFonts w:ascii="Calibri" w:cs="Calibri" w:eastAsia="Calibri" w:hAnsi="Calibri"/>
          <w:b w:val="false"/>
          <w:bCs w:val="false"/>
          <w:i w:val="false"/>
          <w:iCs w:val="false"/>
          <w:sz w:val="22"/>
          <w:szCs w:val="22"/>
        </w:rPr>
        <w:t xml:space="preserve"> Wijs elk groepje expliciet twee verschillende systemen toe (of laat ze kiezen uit wat nog niet behandeld is) zodat aan het eind van dagdeel B alle vijf systemen minstens één keer zijn verdedigd. Bewaak tijdens de verdedigingsronde dat de tegensprekende groep niet vervalt in "ik zou het anders doen" zonder onderbouwing, maar concreet doorvraagt op stap 2 en stap 3 van het architectuurkeuzeblad van de presenterende groep.</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Hexagonaal wordt gekozen "omdat het beter is" zonder concreet 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Voorkeur voor het nieuwere patroon in plaats van risicoanalyse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"welk incident voorkomt deze keuze dat gelaagd niet zou voorkomen?"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Gelaagde architectuur wordt als "verouderd" of "minder goed" weggezet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Patroon wordt beoordeeld op reputatie, niet op wat het beschermt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Vera's KERN-voorbeeld: gelaagd, consequent gehandhaafd, lost het meest voorkomende risico al op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CQRS wordt voorgesteld voor een systeem zonder aantoonbare lees/schrijf-asymmetrie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nieuw geleerde patroon wordt reflexmatig toegepast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Doorloop de drie signalen uit §19.7 hardop met de groep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CQRS wordt uitgelegd als "twee aparte databases"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Vereenvoudiging van het patroon tot zijn meest zichtbare, verdergaande vorm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"kan dit ook binnen één database, met alleen een gescheiden code-pad?"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vragen door naar de technische werking van het Locked Platform tijdens §19.8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Begrijpelijke nieuwsgierigheid, buiten de scope van dit 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de Toolbijlage, ga niet inhoudelijk mee in de sessie zelf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afsluitende veld wordt ingevuld met een algemene bewering ("dan wordt het rommelig") in plaats van een concreet incident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veld wordt als formaliteit ingevuld, niet als verdedigingsargument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merkt dat als eerste, en waaraan?"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groep verdedigt zijn keuze puur op basis van "dat is wat het boek zegt"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Patroonkeuze wordt niet aan het eigen domein getoetst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"waarom past dit specifiek bij dít systeem, en niet bij een van de andere vier?"</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19 wordt niet becijferd. Houd bij, per groepje, of stap 2 van elk ingevuld architectuurkeuzeblad een concreet risico benoemt (niet alleen een voorkeur) en of stap 3 een expliciete, onderbouwde uitspraak doet over CQRS — inclusief een goed onderbouwd "nee". Houd voor de verdedigingsronde (opdracht 14) bij of het afsluitende veld een concreet incident met een herkenbare tijdshorizon beschrijft. Noteer per groep: voldoet / voldoet met hulp / voldoet niet.</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2 (§2, de vijf systemen)</w:t>
      </w:r>
    </w:p>
    <w:p>
      <w:pPr>
        <w:pStyle w:val="ListParagraph"/>
        <w:numPr>
          <w:ilvl w:val="0"/>
          <w:numId w:val="1"/>
        </w:numPr>
        <w:spacing w:after="80"/>
      </w:pPr>
      <w:r>
        <w:rPr>
          <w:rFonts w:ascii="Calibri" w:cs="Calibri" w:eastAsia="Calibri" w:hAnsi="Calibri"/>
          <w:sz w:val="22"/>
          <w:szCs w:val="22"/>
        </w:rPr>
        <w:t xml:space="preserve">Uitkomsten van deel 18 (de twee ingevulde grenzentoetsen: dienstverband, termijnbewaking), als startmateriaal voor dagdeel A</w:t>
      </w:r>
    </w:p>
    <w:p>
      <w:pPr>
        <w:pStyle w:val="ListParagraph"/>
        <w:numPr>
          <w:ilvl w:val="0"/>
          <w:numId w:val="1"/>
        </w:numPr>
        <w:spacing w:after="80"/>
      </w:pPr>
      <w:r>
        <w:rPr>
          <w:rFonts w:ascii="Calibri" w:cs="Calibri" w:eastAsia="Calibri" w:hAnsi="Calibri"/>
          <w:sz w:val="22"/>
          <w:szCs w:val="22"/>
        </w:rPr>
        <w:t xml:space="preserve">Werkboek deel 19, inclusief dossierstukken 19-A, 19-B en 19-C</w:t>
      </w:r>
    </w:p>
    <w:p>
      <w:pPr>
        <w:pStyle w:val="ListParagraph"/>
        <w:numPr>
          <w:ilvl w:val="0"/>
          <w:numId w:val="1"/>
        </w:numPr>
        <w:spacing w:after="80"/>
      </w:pPr>
      <w:r>
        <w:rPr>
          <w:rFonts w:ascii="Calibri" w:cs="Calibri" w:eastAsia="Calibri" w:hAnsi="Calibri"/>
          <w:sz w:val="22"/>
          <w:szCs w:val="22"/>
        </w:rPr>
        <w:t xml:space="preserve">Slidedeck deel 19</w:t>
      </w:r>
    </w:p>
    <w:p>
      <w:pPr>
        <w:pStyle w:val="ListParagraph"/>
        <w:numPr>
          <w:ilvl w:val="0"/>
          <w:numId w:val="1"/>
        </w:numPr>
        <w:spacing w:after="80"/>
      </w:pPr>
      <w:r>
        <w:rPr>
          <w:rFonts w:ascii="Calibri" w:cs="Calibri" w:eastAsia="Calibri" w:hAnsi="Calibri"/>
          <w:sz w:val="22"/>
          <w:szCs w:val="22"/>
        </w:rPr>
        <w:t xml:space="preserve">Whiteboard of digitaal bord voor schema's (dagdeel A) en de verdedigingsronde (dagdeel B)</w:t>
      </w:r>
    </w:p>
    <w:p>
      <w:pPr>
        <w:pStyle w:val="ListParagraph"/>
        <w:numPr>
          <w:ilvl w:val="0"/>
          <w:numId w:val="1"/>
        </w:numPr>
        <w:spacing w:after="80"/>
      </w:pPr>
      <w:r>
        <w:rPr>
          <w:rFonts w:ascii="Calibri" w:cs="Calibri" w:eastAsia="Calibri" w:hAnsi="Calibri"/>
          <w:sz w:val="22"/>
          <w:szCs w:val="22"/>
        </w:rPr>
        <w:t xml:space="preserve">Vijf architectuurkeuzebladen (blanco), minstens één per groepje per dagdeel</w:t>
      </w:r>
    </w:p>
    <w:p>
      <w:pPr>
        <w:pStyle w:val="Heading2"/>
        <w:spacing w:after="120" w:before="200"/>
      </w:pPr>
      <w:r>
        <w:rPr>
          <w:rFonts w:ascii="Georgia" w:cs="Georgia" w:eastAsia="Georgia" w:hAnsi="Georgia"/>
          <w:b/>
          <w:bCs/>
          <w:color w:val="2C5AA0"/>
          <w:sz w:val="28"/>
          <w:szCs w:val="28"/>
        </w:rPr>
        <w:t xml:space="preserve">8. Aantekeningen voor de docent over het Locked Platform-kader en positionering</w:t>
      </w:r>
    </w:p>
    <w:p>
      <w:pPr>
        <w:pStyle w:val="ListParagraph"/>
        <w:numPr>
          <w:ilvl w:val="0"/>
          <w:numId w:val="1"/>
        </w:numPr>
        <w:spacing w:after="80"/>
      </w:pPr>
      <w:r>
        <w:rPr>
          <w:rFonts w:ascii="Calibri" w:cs="Calibri" w:eastAsia="Calibri" w:hAnsi="Calibri"/>
          <w:sz w:val="22"/>
          <w:szCs w:val="22"/>
        </w:rPr>
        <w:t xml:space="preserve">**Dit is het tweede en laatste van de twee gemarkeerde plekken in de hele cursus (naast deel 18 §18.6) waar het Locked Platform met naam wordt genoemd.** Buiten §19.8 blijft dit deel, en de rest van de cursus na deel 19, volledig toolneutraal. Wijk hier niet vanaf, ook niet als deelnemers uit eigen ervaring met het Locked Platform vragen stellen — verwijs naar de Toolbijlage en ga terug naar de hoofdlijn van het deel.</w:t>
      </w:r>
    </w:p>
    <w:p>
      <w:pPr>
        <w:pStyle w:val="ListParagraph"/>
        <w:numPr>
          <w:ilvl w:val="0"/>
          <w:numId w:val="1"/>
        </w:numPr>
        <w:spacing w:after="80"/>
      </w:pPr>
      <w:r>
        <w:rPr>
          <w:rFonts w:ascii="Calibri" w:cs="Calibri" w:eastAsia="Calibri" w:hAnsi="Calibri"/>
          <w:sz w:val="22"/>
          <w:szCs w:val="22"/>
        </w:rPr>
        <w:t xml:space="preserve">Het kader is bewust kort en erkennend, niet uitleggend: het noemt dat het Locked Platform CQRS en event sourcing als architecturale grondslag heeft, met het schrijfpad als event-reeks en het leespad als apart opgebouwd leesmodel — zonder in te gaan op toestandsmachines of de event store zelf. De volledige uitwerking staat in de Toolbijlage en, voor de techniek zelf, in de database- en architectuurcursus (zie §4 van het opzetdocument).</w:t>
      </w:r>
    </w:p>
    <w:p>
      <w:pPr>
        <w:pStyle w:val="ListParagraph"/>
        <w:numPr>
          <w:ilvl w:val="0"/>
          <w:numId w:val="1"/>
        </w:numPr>
        <w:spacing w:after="80"/>
      </w:pPr>
      <w:r>
        <w:rPr>
          <w:rFonts w:ascii="Calibri" w:cs="Calibri" w:eastAsia="Calibri" w:hAnsi="Calibri"/>
          <w:sz w:val="22"/>
          <w:szCs w:val="22"/>
        </w:rPr>
        <w:t xml:space="preserve">IP-let op: "hexagonale architectuur", "gelaagde architectuur" en "CQRS" zijn feitelijk vrije, in de branche algemeen gebruikte termen uit het officiële iSAQB-curriculum. Dit deel tekent geen diagrammen na van specifieke auteurs (bijvoorbeeld Cockburns oorspronkelijke hexagon-voorstelling) — de figuren (19-1 t/m 19-8) en de casus zijn eigen werk, met een eigen werkvorm (het architectuurkeuzeblad) die niet één-op-één een bestaand, uitgegeven sjabloon volgt.</w:t>
      </w:r>
    </w:p>
    <w:p>
      <w:pPr>
        <w:pStyle w:val="ListParagraph"/>
        <w:numPr>
          <w:ilvl w:val="0"/>
          <w:numId w:val="1"/>
        </w:numPr>
        <w:spacing w:after="80"/>
      </w:pPr>
      <w:r>
        <w:rPr>
          <w:rFonts w:ascii="Calibri" w:cs="Calibri" w:eastAsia="Calibri" w:hAnsi="Calibri"/>
          <w:sz w:val="22"/>
          <w:szCs w:val="22"/>
        </w:rPr>
        <w:t xml:space="preserve">Bewaar de vijf ingevulde architectuurkeuzebladen (één per systeem, samengesteld uit opdracht 5, 6, 13 en 14) voor gebruik in deel 20 en deel 21: deel 20 stelt de vraag of deze keuzes werden gemaakt naar het domein of naar de bestaande teamstructuur (Iris' slotvraag, §19.11); deel 21 werkt uit hoe de systemen, elk met hun eigen architectuur, elkaar via domain events bereiken.</w:t>
      </w:r>
    </w:p>
    <w:p>
      <w:pPr>
        <w:pStyle w:val="ListParagraph"/>
        <w:numPr>
          <w:ilvl w:val="0"/>
          <w:numId w:val="1"/>
        </w:numPr>
        <w:spacing w:after="80"/>
      </w:pPr>
      <w:r>
        <w:rPr>
          <w:rFonts w:ascii="Calibri" w:cs="Calibri" w:eastAsia="Calibri" w:hAnsi="Calibri"/>
          <w:sz w:val="22"/>
          <w:szCs w:val="22"/>
        </w:rPr>
        <w:t xml:space="preserve">Kondig aan het eind van dagdeel B expliciet aan dat deel 20 zelfstandig leesbaar en los aanbiedbaar is — deelnemers die deze cursus niet in volgorde volgen, kunnen deel 20 apart doen — en dat het de organisatorische vraag stelt die dit deel bewust openliet: zijn deze architectuurkeuzes gemaakt naar het domein, of naar hoe de teams nu toevallig zijn ingericht?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2026-08-16T19:18:50.463Z</dcterms:created>
  <dcterms:modified xsi:type="dcterms:W3CDTF">2026-08-16T19:18:50.463Z</dcterms:modified>
</cp:coreProperties>
</file>

<file path=docProps/custom.xml><?xml version="1.0" encoding="utf-8"?>
<Properties xmlns="http://schemas.openxmlformats.org/officeDocument/2006/custom-properties" xmlns:vt="http://schemas.openxmlformats.org/officeDocument/2006/docPropsVTypes"/>
</file>