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19 — Applicatie-architectuurpatronen: hexagonaal, gelaagd, CQRS als patroon</w:t>
      </w:r>
    </w:p>
    <w:p>
      <w:pPr>
        <w:spacing w:after="140" w:line="300"/>
      </w:pPr>
      <w:r>
        <w:rPr>
          <w:rFonts w:ascii="Calibri" w:cs="Calibri" w:eastAsia="Calibri" w:hAnsi="Calibri"/>
          <w:b w:val="false"/>
          <w:bCs w:val="false"/>
          <w:i w:val="false"/>
          <w:iCs w:val="false"/>
          <w:sz w:val="22"/>
          <w:szCs w:val="22"/>
        </w:rPr>
        <w:t xml:space="preserve">Werkboek · Ductus-cursus Domain-Driven Design · niveau 2 · deel 19 van 30 · twee dagdelen</w:t>
      </w:r>
    </w:p>
    <w:p>
      <w:pPr>
        <w:spacing w:after="140" w:line="300"/>
      </w:pPr>
      <w:r>
        <w:rPr>
          <w:rFonts w:ascii="Calibri" w:cs="Calibri" w:eastAsia="Calibri" w:hAnsi="Calibri"/>
          <w:b w:val="false"/>
          <w:bCs w:val="false"/>
          <w:i w:val="false"/>
          <w:iCs w:val="false"/>
          <w:sz w:val="22"/>
          <w:szCs w:val="22"/>
        </w:rPr>
        <w:t xml:space="preserve">Veertien opdrachten, verdeeld over de twee dagdelen. Dagdeel A (opdracht 1 t/m 7) behandelt gelaagd versus hexagonaal aan de hand van de vijf systemen; dagdeel B (opdracht 8 t/m 14) behandelt CQRS en sluit af met de verdediging van twee architectuurkeuzes.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19-A — Het architectuurkeuzeblad in het kort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Stap</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Vraag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Welke context, welke aggregaatgrens (uit deel 18)?</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Gelaagd of hexagonaal — welk risico dekt dat af?</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Lees/schrijf-asymmetrie — CQRS wel of (nog) niet?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architectuur in één alinea, gericht op wie haar bouwt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 het verschil maakt: wat gaat er mis als een developer de snelste weg neemt, en hoe snel wordt dat zichtbaar?</w:t>
            </w:r>
          </w:p>
        </w:tc>
      </w:tr>
    </w:tbl>
    <w:p>
      <w:pPr>
        <w:pStyle w:val="Heading2"/>
        <w:spacing w:after="120" w:before="200"/>
      </w:pPr>
      <w:r>
        <w:rPr>
          <w:rFonts w:ascii="Georgia" w:cs="Georgia" w:eastAsia="Georgia" w:hAnsi="Georgia"/>
          <w:b/>
          <w:bCs/>
          <w:color w:val="2C5AA0"/>
          <w:sz w:val="28"/>
          <w:szCs w:val="28"/>
        </w:rPr>
        <w:t xml:space="preserve">Dossierstuk 19-B — De vijf systemen, kort samengevat (uit het casusdossier)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Systeem</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Kenmerk relevant voor dit 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veertien jaar oud, één stabiele database, regels op meerdere plekken door erosie van de laagstructuur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Werkgeversportaal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litteken van WGP 2.0, klein team, weinig ruimte voor complexiteit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Mutatieplatform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nog te bouwen, meerdere bronnen en afnemers, strikte validatie van mutaties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Nabestaandenloket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klein, één team, één overzichtelijke aggregate, laag risico</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Wegwijzer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leest alleen, geen eigen aggregate, snelheid en leesbaarheid zijn de enige eisen</w:t>
            </w:r>
          </w:p>
        </w:tc>
      </w:tr>
    </w:tbl>
    <w:p>
      <w:pPr>
        <w:pStyle w:val="Heading2"/>
        <w:spacing w:after="120" w:before="200"/>
      </w:pPr>
      <w:r>
        <w:rPr>
          <w:rFonts w:ascii="Georgia" w:cs="Georgia" w:eastAsia="Georgia" w:hAnsi="Georgia"/>
          <w:b/>
          <w:bCs/>
          <w:color w:val="2C5AA0"/>
          <w:sz w:val="28"/>
          <w:szCs w:val="28"/>
        </w:rPr>
        <w:t xml:space="preserve">Dossierstuk 19-C — De twee aggregates uit deel 18</w:t>
      </w:r>
    </w:p>
    <w:p>
      <w:pPr>
        <w:pStyle w:val="ListParagraph"/>
        <w:numPr>
          <w:ilvl w:val="0"/>
          <w:numId w:val="1"/>
        </w:numPr>
        <w:spacing w:after="80"/>
      </w:pPr>
      <w:r>
        <w:rPr>
          <w:rFonts w:ascii="Calibri" w:cs="Calibri" w:eastAsia="Calibri" w:hAnsi="Calibri"/>
          <w:sz w:val="22"/>
          <w:szCs w:val="22"/>
        </w:rPr>
        <w:t xml:space="preserve">**Dienstverband (KERN):** authentieke registratie, geldig percentage en ingangsdatum</w:t>
      </w:r>
    </w:p>
    <w:p>
      <w:pPr>
        <w:pStyle w:val="ListParagraph"/>
        <w:numPr>
          <w:ilvl w:val="0"/>
          <w:numId w:val="1"/>
        </w:numPr>
        <w:spacing w:after="80"/>
      </w:pPr>
      <w:r>
        <w:rPr>
          <w:rFonts w:ascii="Calibri" w:cs="Calibri" w:eastAsia="Calibri" w:hAnsi="Calibri"/>
          <w:sz w:val="22"/>
          <w:szCs w:val="22"/>
        </w:rPr>
        <w:t xml:space="preserve">**Mutatieverwerking (Mutatieplatform):** valideert een binnenkomende mutatie op basis van een momentopname, verwijst naar het dienstverband via identiteit en versie</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DAGDEEL A — Gelaagd versus hexagonaal</w:t>
      </w:r>
    </w:p>
    <w:p>
      <w:pPr>
        <w:pStyle w:val="Heading2"/>
        <w:spacing w:after="120" w:before="200"/>
      </w:pPr>
      <w:r>
        <w:rPr>
          <w:rFonts w:ascii="Georgia" w:cs="Georgia" w:eastAsia="Georgia" w:hAnsi="Georgia"/>
          <w:b/>
          <w:bCs/>
          <w:color w:val="2C5AA0"/>
          <w:sz w:val="28"/>
          <w:szCs w:val="28"/>
        </w:rPr>
        <w:t xml:space="preserve">Opdracht 1 — Otto's vraag in eigen woorden (10 min, plenair)</w:t>
      </w:r>
    </w:p>
    <w:p>
      <w:pPr>
        <w:spacing w:after="140" w:line="300"/>
      </w:pPr>
      <w:r>
        <w:rPr>
          <w:rFonts w:ascii="Calibri" w:cs="Calibri" w:eastAsia="Calibri" w:hAnsi="Calibri"/>
          <w:b w:val="false"/>
          <w:bCs w:val="false"/>
          <w:i w:val="false"/>
          <w:iCs w:val="false"/>
          <w:sz w:val="22"/>
          <w:szCs w:val="22"/>
        </w:rPr>
        <w:t xml:space="preserve">Reader §19.2 opent met Otto's vraag: de grens uit deel 18 bestaat op papier, maar niets in de code houdt tegen dat iemand hem omzeilt. Herformuleer die vraag als een algemeen principe dat niet specifiek over het Mutatieplatform gaat.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Gelaagd en hexagonaal naast elkaar zetten (15 min, tweetallen)</w:t>
      </w:r>
    </w:p>
    <w:p>
      <w:pPr>
        <w:spacing w:after="140" w:line="300"/>
      </w:pPr>
      <w:r>
        <w:rPr>
          <w:rFonts w:ascii="Calibri" w:cs="Calibri" w:eastAsia="Calibri" w:hAnsi="Calibri"/>
          <w:b w:val="false"/>
          <w:bCs w:val="false"/>
          <w:i w:val="false"/>
          <w:iCs w:val="false"/>
          <w:sz w:val="22"/>
          <w:szCs w:val="22"/>
        </w:rPr>
        <w:t xml:space="preserve">Beschrijf, zonder de reader erbij te pakken, in eigen woorden het verschil tussen gelaagde en hexagonale architectuur. Richt je specifiek op de afhankelijkheidsrichting: welke laag of welk onderdeel mag van welke andere weten? Vergelijk daarna met §19.3 en §19.4.</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Vera's erosie bij KERN diagnosticeren (15 min, tweetallen)</w:t>
      </w:r>
    </w:p>
    <w:p>
      <w:pPr>
        <w:spacing w:after="140" w:line="300"/>
      </w:pPr>
      <w:r>
        <w:rPr>
          <w:rFonts w:ascii="Calibri" w:cs="Calibri" w:eastAsia="Calibri" w:hAnsi="Calibri"/>
          <w:b w:val="false"/>
          <w:bCs w:val="false"/>
          <w:i w:val="false"/>
          <w:iCs w:val="false"/>
          <w:sz w:val="22"/>
          <w:szCs w:val="22"/>
        </w:rPr>
        <w:t xml:space="preserve">KERN heeft een laagstructuur, en toch is de grens uitgehold (§19.3). Leg uit hoe dat kan: wat ontbreekt er in een laagstructuur die op papier bestaat maar in de praktijk niet wordt gehandhaafd? Noem één concrete maatregel (technisch of organisatorisch) die die erosie had kunnen voorkomen.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Het criterium toepassen: risico, niet mode (20 min, groepjes van drie tot vier)</w:t>
      </w:r>
    </w:p>
    <w:p>
      <w:pPr>
        <w:spacing w:after="140" w:line="300"/>
      </w:pPr>
      <w:r>
        <w:rPr>
          <w:rFonts w:ascii="Calibri" w:cs="Calibri" w:eastAsia="Calibri" w:hAnsi="Calibri"/>
          <w:b w:val="false"/>
          <w:bCs w:val="false"/>
          <w:i w:val="false"/>
          <w:iCs w:val="false"/>
          <w:sz w:val="22"/>
          <w:szCs w:val="22"/>
        </w:rPr>
        <w:t xml:space="preserve">Reader §19.5 stelt dat de keuze tussen gelaagd en hexagonaal niet gaat over welk patroon moderner is, maar over welk risico een context daadwerkelijk loopt. Pas dit criterium toe op het Nabestaandenloket (dossierstuk 19-B): welk risico loopt dit systeem, en welk patroon — gelaagd of hexagonaal — past daarbij? Onderbouw met een concreet scenario, niet met een voorkeur.</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Stap 1 en 2 van het architectuurkeuzeblad invullen voor het Mutatieplatform (20 min, groepjes van drie tot vier)</w:t>
      </w:r>
    </w:p>
    <w:p>
      <w:pPr>
        <w:spacing w:after="140" w:line="300"/>
      </w:pPr>
      <w:r>
        <w:rPr>
          <w:rFonts w:ascii="Calibri" w:cs="Calibri" w:eastAsia="Calibri" w:hAnsi="Calibri"/>
          <w:b w:val="false"/>
          <w:bCs w:val="false"/>
          <w:i w:val="false"/>
          <w:iCs w:val="false"/>
          <w:sz w:val="22"/>
          <w:szCs w:val="22"/>
        </w:rPr>
        <w:t xml:space="preserve">Vul, op basis van dossierstuk 19-B en 19-C, stap 1 en 2 van het architectuurkeuzeblad in voor het Mutatieplatform. Vergelijk daarna met §19.5: komt je keuze en onderbouwing overeen met wat Otto in de reader beargumenteert?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Hetzelfde voor het Werkgeversportaal (15 min, groepjes van drie tot vier)</w:t>
      </w:r>
    </w:p>
    <w:p>
      <w:pPr>
        <w:spacing w:after="140" w:line="300"/>
      </w:pPr>
      <w:r>
        <w:rPr>
          <w:rFonts w:ascii="Calibri" w:cs="Calibri" w:eastAsia="Calibri" w:hAnsi="Calibri"/>
          <w:b w:val="false"/>
          <w:bCs w:val="false"/>
          <w:i w:val="false"/>
          <w:iCs w:val="false"/>
          <w:sz w:val="22"/>
          <w:szCs w:val="22"/>
        </w:rPr>
        <w:t xml:space="preserve">Vul stap 1 en 2 in voor het Werkgeversportaal. Let op: het litteken van WGP 2.0 is geen technisch argument op zichzelf — vertaal het naar een concreet risico in de zin van het criterium uit §19.5.</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7 — Wanneer hexagonaal een vergissing zou zijn (15 min, plenair)</w:t>
      </w:r>
    </w:p>
    <w:p>
      <w:pPr>
        <w:spacing w:after="140" w:line="300"/>
      </w:pPr>
      <w:r>
        <w:rPr>
          <w:rFonts w:ascii="Calibri" w:cs="Calibri" w:eastAsia="Calibri" w:hAnsi="Calibri"/>
          <w:b w:val="false"/>
          <w:bCs w:val="false"/>
          <w:i w:val="false"/>
          <w:iCs w:val="false"/>
          <w:sz w:val="22"/>
          <w:szCs w:val="22"/>
        </w:rPr>
        <w:t xml:space="preserve">Bedenk, voor een van de vijf systemen naar keuze, een situatie waarin een team voor hexagonale architectuur zou kiezen zonder dat er een aantoonbaar risico tegenover staat. Beschrijf wat er in dat geval misgaat — niet functioneel, maar in de kosten die het team draagt zonder er iets voor terug te krijgen.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DAGDEEL B — CQRS als patroon</w:t>
      </w:r>
    </w:p>
    <w:p>
      <w:pPr>
        <w:pStyle w:val="Heading2"/>
        <w:spacing w:after="120" w:before="200"/>
      </w:pPr>
      <w:r>
        <w:rPr>
          <w:rFonts w:ascii="Georgia" w:cs="Georgia" w:eastAsia="Georgia" w:hAnsi="Georgia"/>
          <w:b/>
          <w:bCs/>
          <w:color w:val="2C5AA0"/>
          <w:sz w:val="28"/>
          <w:szCs w:val="28"/>
        </w:rPr>
        <w:t xml:space="preserve">Opdracht 8 — Priya en Karsten naast elkaar (10 min, plenair)</w:t>
      </w:r>
    </w:p>
    <w:p>
      <w:pPr>
        <w:spacing w:after="140" w:line="300"/>
      </w:pPr>
      <w:r>
        <w:rPr>
          <w:rFonts w:ascii="Calibri" w:cs="Calibri" w:eastAsia="Calibri" w:hAnsi="Calibri"/>
          <w:b w:val="false"/>
          <w:bCs w:val="false"/>
          <w:i w:val="false"/>
          <w:iCs w:val="false"/>
          <w:sz w:val="22"/>
          <w:szCs w:val="22"/>
        </w:rPr>
        <w:t xml:space="preserve">Reader §19.6 legt Priya's beschrijving van Wegwijzer naast Karstens beschrijving van het Mutatieplatform. Vat in twee zinnen samen wat de asymmetrie tussen die twee is, zonder de term CQRS te gebruiken.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9 — Het compromis herkennen (15 min, tweetallen)</w:t>
      </w:r>
    </w:p>
    <w:p>
      <w:pPr>
        <w:spacing w:after="140" w:line="300"/>
      </w:pPr>
      <w:r>
        <w:rPr>
          <w:rFonts w:ascii="Calibri" w:cs="Calibri" w:eastAsia="Calibri" w:hAnsi="Calibri"/>
          <w:b w:val="false"/>
          <w:bCs w:val="false"/>
          <w:i w:val="false"/>
          <w:iCs w:val="false"/>
          <w:sz w:val="22"/>
          <w:szCs w:val="22"/>
        </w:rPr>
        <w:t xml:space="preserve">Reader §19.7 stelt dat een gedeeld model dat zowel schrijft als toont, onvermijdelijk een compromis wordt. Bedenk, voor KERN, twee concrete soorten velden die dat compromis illustreren: één die alleen voor het schrijfpad relevant is en het leesmodel vervuilt, één die alleen voor het leespad relevant is en het schrijfmodel vervuilt.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10 — CQRS is geen "twee databases" (10 min, plenair)</w:t>
      </w:r>
    </w:p>
    <w:p>
      <w:pPr>
        <w:spacing w:after="140" w:line="300"/>
      </w:pPr>
      <w:r>
        <w:rPr>
          <w:rFonts w:ascii="Calibri" w:cs="Calibri" w:eastAsia="Calibri" w:hAnsi="Calibri"/>
          <w:b w:val="false"/>
          <w:bCs w:val="false"/>
          <w:i w:val="false"/>
          <w:iCs w:val="false"/>
          <w:sz w:val="22"/>
          <w:szCs w:val="22"/>
        </w:rPr>
        <w:t xml:space="preserve">Reader §19.7 waarschuwt tegen de vereenvoudiging dat CQRS gelijkstaat aan een aparte database voor lezen en schrijven. Leg uit wat het patroon wél vereist, ook zonder gescheiden opslag, en wanneer een gescheiden opslag wél de logische volgende stap wordt.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11 — Drie signalen voor overkill toepassen (20 min, groepjes van drie tot vier)</w:t>
      </w:r>
    </w:p>
    <w:p>
      <w:pPr>
        <w:spacing w:after="140" w:line="300"/>
      </w:pPr>
      <w:r>
        <w:rPr>
          <w:rFonts w:ascii="Calibri" w:cs="Calibri" w:eastAsia="Calibri" w:hAnsi="Calibri"/>
          <w:b w:val="false"/>
          <w:bCs w:val="false"/>
          <w:i w:val="false"/>
          <w:iCs w:val="false"/>
          <w:sz w:val="22"/>
          <w:szCs w:val="22"/>
        </w:rPr>
        <w:t xml:space="preserve">Reader §19.7 noemt drie signalen dat CQRS overkill is. Doorloop ze voor het Nabestaandenloket en concludeer of CQRS daar wel of niet passend is. Onderbouw elk signaal apart in plaats van alleen een eindoordeel te geven.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12 — Het Locked Platform-kader lezen en de grens herkennen (10 min, plenair)</w:t>
      </w:r>
    </w:p>
    <w:p>
      <w:pPr>
        <w:spacing w:after="140" w:line="300"/>
      </w:pPr>
      <w:r>
        <w:rPr>
          <w:rFonts w:ascii="Calibri" w:cs="Calibri" w:eastAsia="Calibri" w:hAnsi="Calibri"/>
          <w:b w:val="false"/>
          <w:bCs w:val="false"/>
          <w:i w:val="false"/>
          <w:iCs w:val="false"/>
          <w:sz w:val="22"/>
          <w:szCs w:val="22"/>
        </w:rPr>
        <w:t xml:space="preserve">Lees §19.8. Benoem in eigen woorden welke twee dingen het kader wél zegt over het Locked Platform, en welke vraag het bewust onbeantwoord laat — en waarom.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13 — Architectuurkeuzeblad voor Wegwijzer en KERN (30 min, groepjes van drie tot vier)</w:t>
      </w:r>
    </w:p>
    <w:p>
      <w:pPr>
        <w:spacing w:after="140" w:line="300"/>
      </w:pPr>
      <w:r>
        <w:rPr>
          <w:rFonts w:ascii="Calibri" w:cs="Calibri" w:eastAsia="Calibri" w:hAnsi="Calibri"/>
          <w:b w:val="false"/>
          <w:bCs w:val="false"/>
          <w:i w:val="false"/>
          <w:iCs w:val="false"/>
          <w:sz w:val="22"/>
          <w:szCs w:val="22"/>
        </w:rPr>
        <w:t xml:space="preserve">Vul het volledige architectuurkeuzeblad (alle vier stappen plus het afsluitende veld) in voor zowel Wegwijzer als KERN. Bereid je voor om de keuze voor KERN te verdedigen tegen de vraag die Karsten in §19.10 stelt: "is dat een architectuurkeuze, of een saneringsproject met een architectuurpatroon als excuus?"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14 — De verdediging: twee systemen, één architectuurkeuzeblad elk (30 min, groepjes van drie tot vier, plenaire verdediging)</w:t>
      </w:r>
    </w:p>
    <w:p>
      <w:pPr>
        <w:spacing w:after="140" w:line="300"/>
      </w:pPr>
      <w:r>
        <w:rPr>
          <w:rFonts w:ascii="Calibri" w:cs="Calibri" w:eastAsia="Calibri" w:hAnsi="Calibri"/>
          <w:b w:val="false"/>
          <w:bCs w:val="false"/>
          <w:i w:val="false"/>
          <w:iCs w:val="false"/>
          <w:sz w:val="22"/>
          <w:szCs w:val="22"/>
        </w:rPr>
        <w:t xml:space="preserve">Kies, als groep, twee van de vijf systemen die nog niet door je eigen groep zijn behandeld in opdracht 5, 6 of 13. Vul voor beide het volledige architectuurkeuzeblad in en verdedig de uitkomst tegenover de rest van het team, dat de rol speelt van een ander team dat een andere keuze had verwacht. Gebruik nadrukkelijk het afsluitende veld ("dat het verschil maakt") als kern van je verdediging, niet als afsluitend zinnetje.</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spacing w:after="140" w:line="300"/>
      </w:pPr>
      <w:r>
        <w:rPr>
          <w:rFonts w:ascii="Calibri" w:cs="Calibri" w:eastAsia="Calibri" w:hAnsi="Calibri"/>
          <w:b w:val="false"/>
          <w:bCs w:val="false"/>
          <w:i w:val="false"/>
          <w:iCs w:val="false"/>
          <w:sz w:val="22"/>
          <w:szCs w:val="22"/>
        </w:rPr>
        <w:t xml:space="preserve">Het algemene principe: een grens die alleen bestaat als afspraak tussen mensen die er vandaag bij zijn, gaat verloren zodra de mensen die de afspraak kennen weggaan of vergeten — een grens moet, om te blijven bestaan, zijn ingebakken in de structuur van de code zelf, zodat het doorbreken ervan een zichtbare, opvallende handeling wordt in plaats van een onopgemerkte.</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Gelaagde architectuur: lagen die van boven naar beneden op elkaar steunen (presentatie → applicatie → domein → infrastructuur), waarbij elke laag alleen van de laag eronder mag weten en de domeinlaag idealiter van niets. Hexagonale architectuur: het domein in het midden, zonder enige kennis van de buitenwereld; alles wat het domein nodig heeft wordt als poort beschreven, en de technische implementatie (de adapter) hangt af van die poort — niet andersom. Het kernverschil: bij gelaagd blijft de afhankelijkheidsrichting binnen de lagen zelf één kant op maar impliciet; bij hexagonaal wordt de richting voor alles "naar buiten" expliciet omgedraaid via poorten, wat een sterkere, structurele garantie geeft.</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Een laagstructuur die op papier bestaat maar niet gehandhaafd wordt, mist een mechanisme dat een uitzondering zichtbaar en bespreekbaar maakt vóórdat ze wordt toegestaan — als "voor deze ene rapportage mag het rechtstreeks" één keer wordt goedgekeurd, ontstaat er geen enkele structurele belemmering om het een tweede en een derde keer ook te doen. Een concrete maatregel: een verplichte, geautomatiseerde controle (bijvoorbeeld in de build of de code review) die een rechtstreekse afhankelijkheid van presentatie naar infrastructuur laat falen, zodat de uitzondering nooit stilzwijgend een gewoonte wordt.</w:t>
      </w:r>
    </w:p>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Het Nabestaandenloket is klein, heeft één team en één overzichtelijke aggregate — het risico van wisselende of meerdere technische aansluitingen, waar hexagonaal voor bedoeld is, speelt daar niet. Het risico dat wel bestaat (erosie van de laagstructuur door gebrek aan discipline) is met een strak gehandhaafde gelaagde architectuur voldoende af te dekken, zonder de extra indirectie van poorten en adapters die geen aantoonbaar risico afdekken bij dit systeem.</w:t>
      </w:r>
    </w:p>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Geen vaste uitwerking. Verwacht: context — Mutatieplatform, met de mutatieverwerking-aggregate uit deel 18 die valideert op basis van een momentopname; keuze — hexagonaal, omdat het systeem meerdere bronnen (Werkgeversportaal, KERN) en op termijn meerdere afnemers moet bedienen, met een reële kans op wisselende of nieuwe adapters, en omdat de strikte invariant-bewaking van commands niet vervuild mag raken door technische details van een specifieke bron.</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Geen vaste uitwerking. Verwacht: het litteken van WGP 2.0 vertaalt zich naar het risico dat een te complexe architectuur, onderhouden door een klein team, leidt tot precies het soort onbeheersbare verwevenheid die WGP 2.0 deed mislukken — "alles zat aan alles vast". Een strak gehandhaafde, eenvoudige gelaagde architectuur dekt dat risico beter af dan hexagonaal, dat extra onderdelen (poorten, adapters) toevoegt die een klein team moet onderhouden zonder dat er een aantoonbaar technisch risico tegenover staat.</w:t>
      </w:r>
    </w:p>
    <w:p>
      <w:pPr>
        <w:pStyle w:val="Heading2"/>
        <w:spacing w:after="120" w:before="200"/>
      </w:pPr>
      <w:r>
        <w:rPr>
          <w:rFonts w:ascii="Georgia" w:cs="Georgia" w:eastAsia="Georgia" w:hAnsi="Georgia"/>
          <w:b/>
          <w:bCs/>
          <w:color w:val="2C5AA0"/>
          <w:sz w:val="28"/>
          <w:szCs w:val="28"/>
        </w:rPr>
        <w:t xml:space="preserve">Uitwerking 7</w:t>
      </w:r>
    </w:p>
    <w:p>
      <w:pPr>
        <w:spacing w:after="140" w:line="300"/>
      </w:pPr>
      <w:r>
        <w:rPr>
          <w:rFonts w:ascii="Calibri" w:cs="Calibri" w:eastAsia="Calibri" w:hAnsi="Calibri"/>
          <w:b w:val="false"/>
          <w:bCs w:val="false"/>
          <w:i w:val="false"/>
          <w:iCs w:val="false"/>
          <w:sz w:val="22"/>
          <w:szCs w:val="22"/>
        </w:rPr>
        <w:t xml:space="preserve">Geen vaste uitwerking. Een plausibel voorbeeld: een team kiest voor hexagonale architectuur bij het Nabestaandenloket "omdat het de moderne standaard is", zonder dat er wisselende adapters of een kwetsbaar te beschermen domeinregel is. De kosten: meer indirectie, meer code om te onderhouden voor poorten die maar één adapter ooit zullen krijgen, en meer tijd nodig om nieuwe teamleden de architectuur uit te leggen — allemaal zonder dat er ooit een concreet incident wordt voorkomen dat een gelaagde architectuur niet ook had voorkomen.</w:t>
      </w:r>
    </w:p>
    <w:p>
      <w:pPr>
        <w:pStyle w:val="Heading2"/>
        <w:spacing w:after="120" w:before="200"/>
      </w:pPr>
      <w:r>
        <w:rPr>
          <w:rFonts w:ascii="Georgia" w:cs="Georgia" w:eastAsia="Georgia" w:hAnsi="Georgia"/>
          <w:b/>
          <w:bCs/>
          <w:color w:val="2C5AA0"/>
          <w:sz w:val="28"/>
          <w:szCs w:val="28"/>
        </w:rPr>
        <w:t xml:space="preserve">Uitwerking 8</w:t>
      </w:r>
    </w:p>
    <w:p>
      <w:pPr>
        <w:spacing w:after="140" w:line="300"/>
      </w:pPr>
      <w:r>
        <w:rPr>
          <w:rFonts w:ascii="Calibri" w:cs="Calibri" w:eastAsia="Calibri" w:hAnsi="Calibri"/>
          <w:b w:val="false"/>
          <w:bCs w:val="false"/>
          <w:i w:val="false"/>
          <w:iCs w:val="false"/>
          <w:sz w:val="22"/>
          <w:szCs w:val="22"/>
        </w:rPr>
        <w:t xml:space="preserve">De asymmetrie: Wegwijzer heeft alleen leesvragen — snel, leesbaar, zonder een eigen invariant om te bewaken — terwijl het Mutatieplatform alleen schrijfvragen strikt moet valideren tegen invarianten, zonder dat snelheid van lezen daar een rol speelt.</w:t>
      </w:r>
    </w:p>
    <w:p>
      <w:pPr>
        <w:pStyle w:val="Heading2"/>
        <w:spacing w:after="120" w:before="200"/>
      </w:pPr>
      <w:r>
        <w:rPr>
          <w:rFonts w:ascii="Georgia" w:cs="Georgia" w:eastAsia="Georgia" w:hAnsi="Georgia"/>
          <w:b/>
          <w:bCs/>
          <w:color w:val="2C5AA0"/>
          <w:sz w:val="28"/>
          <w:szCs w:val="28"/>
        </w:rPr>
        <w:t xml:space="preserve">Uitwerking 9</w:t>
      </w:r>
    </w:p>
    <w:p>
      <w:pPr>
        <w:spacing w:after="140" w:line="300"/>
      </w:pPr>
      <w:r>
        <w:rPr>
          <w:rFonts w:ascii="Calibri" w:cs="Calibri" w:eastAsia="Calibri" w:hAnsi="Calibri"/>
          <w:b w:val="false"/>
          <w:bCs w:val="false"/>
          <w:i w:val="false"/>
          <w:iCs w:val="false"/>
          <w:sz w:val="22"/>
          <w:szCs w:val="22"/>
        </w:rPr>
        <w:t xml:space="preserve">Geen vaste uitwerking. Een plausibel voorbeeld voor KERN: een technisch validatieveld (bijvoorbeeld een interne verwerkingsstatus die alleen relevant is tijdens het schrijfproces) dat het leesmodel vervuilt omdat elke rapportage het moet negeren of uitfilteren; en een afgeleid, voor leesbaarheid berekend veld (bijvoorbeeld een samengestelde weergavenaam) dat het schrijfmodel vervuilt omdat het nooit een rol speelt bij validatie maar wel elke keer wordt meegenomen als het schrijfmodel wordt bewerkt.</w:t>
      </w:r>
    </w:p>
    <w:p>
      <w:pPr>
        <w:pStyle w:val="Heading2"/>
        <w:spacing w:after="120" w:before="200"/>
      </w:pPr>
      <w:r>
        <w:rPr>
          <w:rFonts w:ascii="Georgia" w:cs="Georgia" w:eastAsia="Georgia" w:hAnsi="Georgia"/>
          <w:b/>
          <w:bCs/>
          <w:color w:val="2C5AA0"/>
          <w:sz w:val="28"/>
          <w:szCs w:val="28"/>
        </w:rPr>
        <w:t xml:space="preserve">Uitwerking 10</w:t>
      </w:r>
    </w:p>
    <w:p>
      <w:pPr>
        <w:spacing w:after="140" w:line="300"/>
      </w:pPr>
      <w:r>
        <w:rPr>
          <w:rFonts w:ascii="Calibri" w:cs="Calibri" w:eastAsia="Calibri" w:hAnsi="Calibri"/>
          <w:b w:val="false"/>
          <w:bCs w:val="false"/>
          <w:i w:val="false"/>
          <w:iCs w:val="false"/>
          <w:sz w:val="22"/>
          <w:szCs w:val="22"/>
        </w:rPr>
        <w:t xml:space="preserve">CQRS vereist, ook zonder gescheiden opslag, dat de code zelf het onderscheid bewaart: schrijfoperaties lopen door de aggregate die de invariant bewaakt, leesoperaties lopen via een aparte, voor lezen geoptimaliseerde weg die de aggregate niet belast — dat kan binnen één database. Een fysiek gescheiden leesmodel met eigen opslag wordt de logische volgende stap zodra de asymmetrie tussen lezen en schrijven groot genoeg wordt (zoals bij Wegwijzer, met veel meer leesverkeer dan schrijfverkeer) of zodra het gedeelde model, ook binnen één database, een merkbaar compromis blijft opleveren.</w:t>
      </w:r>
    </w:p>
    <w:p>
      <w:pPr>
        <w:pStyle w:val="Heading2"/>
        <w:spacing w:after="120" w:before="200"/>
      </w:pPr>
      <w:r>
        <w:rPr>
          <w:rFonts w:ascii="Georgia" w:cs="Georgia" w:eastAsia="Georgia" w:hAnsi="Georgia"/>
          <w:b/>
          <w:bCs/>
          <w:color w:val="2C5AA0"/>
          <w:sz w:val="28"/>
          <w:szCs w:val="28"/>
        </w:rPr>
        <w:t xml:space="preserve">Uitwerking 11</w:t>
      </w:r>
    </w:p>
    <w:p>
      <w:pPr>
        <w:spacing w:after="140" w:line="300"/>
      </w:pPr>
      <w:r>
        <w:rPr>
          <w:rFonts w:ascii="Calibri" w:cs="Calibri" w:eastAsia="Calibri" w:hAnsi="Calibri"/>
          <w:b w:val="false"/>
          <w:bCs w:val="false"/>
          <w:i w:val="false"/>
          <w:iCs w:val="false"/>
          <w:sz w:val="22"/>
          <w:szCs w:val="22"/>
        </w:rPr>
        <w:t xml:space="preserve">Geen vaste uitwerking. Verwacht: signaal 1 (asymmetrie) — bij het Nabestaandenloket liggen lezen en schrijven dicht bij elkaar, geen aantoonbare asymmetrie; signaal 2 (compromis) — de bestaande, kleine aggregate levert geen merkbaar compromis op tussen schrijf- en leesbehoefte; signaal 3 (teamgrootte) — één klein team zou de extra onderdelen van een gescheiden leesmodel moeten onderhouden zonder aantoonbare baat. Conclusie: CQRS is bij het Nabestaandenloket overkill.</w:t>
      </w:r>
    </w:p>
    <w:p>
      <w:pPr>
        <w:pStyle w:val="Heading2"/>
        <w:spacing w:after="120" w:before="200"/>
      </w:pPr>
      <w:r>
        <w:rPr>
          <w:rFonts w:ascii="Georgia" w:cs="Georgia" w:eastAsia="Georgia" w:hAnsi="Georgia"/>
          <w:b/>
          <w:bCs/>
          <w:color w:val="2C5AA0"/>
          <w:sz w:val="28"/>
          <w:szCs w:val="28"/>
        </w:rPr>
        <w:t xml:space="preserve">Uitwerking 12</w:t>
      </w:r>
    </w:p>
    <w:p>
      <w:pPr>
        <w:spacing w:after="140" w:line="300"/>
      </w:pPr>
      <w:r>
        <w:rPr>
          <w:rFonts w:ascii="Calibri" w:cs="Calibri" w:eastAsia="Calibri" w:hAnsi="Calibri"/>
          <w:b w:val="false"/>
          <w:bCs w:val="false"/>
          <w:i w:val="false"/>
          <w:iCs w:val="false"/>
          <w:sz w:val="22"/>
          <w:szCs w:val="22"/>
        </w:rPr>
        <w:t xml:space="preserve">Het kader zegt wél: dat CQRS een modelleerkeuze is, geen databasekeuze; en dat het Locked Platform CQRS en event sourcing als architecturale grondslag heeft gekozen, met het schrijfpad als gebeurtenissenreeks en het leespad als apart, asynchroon opgebouwd leesmodel. Het laat bewust onbeantwoord hoe die toestandsmachines en die event store technisch precies werken — die vraag hoort bij de database- en architectuurcursus, niet bij dit deel, dat platformonafhankelijk blijft buiten dit ene, gemarkeerde kader.</w:t>
      </w:r>
    </w:p>
    <w:p>
      <w:pPr>
        <w:pStyle w:val="Heading2"/>
        <w:spacing w:after="120" w:before="200"/>
      </w:pPr>
      <w:r>
        <w:rPr>
          <w:rFonts w:ascii="Georgia" w:cs="Georgia" w:eastAsia="Georgia" w:hAnsi="Georgia"/>
          <w:b/>
          <w:bCs/>
          <w:color w:val="2C5AA0"/>
          <w:sz w:val="28"/>
          <w:szCs w:val="28"/>
        </w:rPr>
        <w:t xml:space="preserve">Uitwerking 13</w:t>
      </w:r>
    </w:p>
    <w:p>
      <w:pPr>
        <w:spacing w:after="140" w:line="300"/>
      </w:pPr>
      <w:r>
        <w:rPr>
          <w:rFonts w:ascii="Calibri" w:cs="Calibri" w:eastAsia="Calibri" w:hAnsi="Calibri"/>
          <w:b w:val="false"/>
          <w:bCs w:val="false"/>
          <w:i w:val="false"/>
          <w:iCs w:val="false"/>
          <w:sz w:val="22"/>
          <w:szCs w:val="22"/>
        </w:rPr>
        <w:t xml:space="preserve">Geen vaste uitwerking. Verwacht voor Wegwijzer: gelaagd of licht hexagonaal (weinig risico van wisselende adapters, wel behoefte aan een schone scheiding tussen wat KERN aanlevert en wat op het scherm getoond wordt) plus CQRS, met een expliciet leesmodel gevoed vanuit KERN en het Mutatieplatform. Verwacht voor KERN: gelaagd, strak gehandhaafd, plus CQRS om de veertien jaar oude erosie tegen te gaan door rapportagevelden expliciet in een apart leesmodel onder te brengen. Verdediging tegen Karstens vraag: het patroon (CQRS) lost het structurele risico op dat velden zich blijven vermengen; het daadwerkelijk opschonen van de bestaande velden is separaat saneringswerk dat de architectuurkeuze mogelijk maakt maar er niet mee samenvalt.</w:t>
      </w:r>
    </w:p>
    <w:p>
      <w:pPr>
        <w:pStyle w:val="Heading2"/>
        <w:spacing w:after="120" w:before="200"/>
      </w:pPr>
      <w:r>
        <w:rPr>
          <w:rFonts w:ascii="Georgia" w:cs="Georgia" w:eastAsia="Georgia" w:hAnsi="Georgia"/>
          <w:b/>
          <w:bCs/>
          <w:color w:val="2C5AA0"/>
          <w:sz w:val="28"/>
          <w:szCs w:val="28"/>
        </w:rPr>
        <w:t xml:space="preserve">Uitwerking 14</w:t>
      </w:r>
    </w:p>
    <w:p>
      <w:pPr>
        <w:spacing w:after="140" w:line="300"/>
      </w:pPr>
      <w:r>
        <w:rPr>
          <w:rFonts w:ascii="Calibri" w:cs="Calibri" w:eastAsia="Calibri" w:hAnsi="Calibri"/>
          <w:b w:val="false"/>
          <w:bCs w:val="false"/>
          <w:i w:val="false"/>
          <w:iCs w:val="false"/>
          <w:sz w:val="22"/>
          <w:szCs w:val="22"/>
        </w:rPr>
        <w:t xml:space="preserve">Geen vaste uitwerking. Beoordeel op: is stap 2 onderbouwd met een concreet risico (niet een voorkeur), is stap 3 expliciet en met signalen onderbouwd (ook als het antwoord "geen CQRS" is), en beantwoordt het afsluitende veld een concreet incident met een tijdshorizon in plaats van een algemene bewering als "dan wordt het rommelig".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2026-08-16T19:18:50.425Z</dcterms:created>
  <dcterms:modified xsi:type="dcterms:W3CDTF">2026-08-16T19:18:50.425Z</dcterms:modified>
</cp:coreProperties>
</file>

<file path=docProps/custom.xml><?xml version="1.0" encoding="utf-8"?>
<Properties xmlns="http://schemas.openxmlformats.org/officeDocument/2006/custom-properties" xmlns:vt="http://schemas.openxmlformats.org/officeDocument/2006/docPropsVTypes"/>
</file>