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20 — Bounded contexts en teams: Conway's Law en teamtopologieën</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20 van 30 · zelfstandig leesbaar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20 is, conform het familiemodel en het opzetdocument (§9), bewust </w:t>
      </w:r>
      <w:r>
        <w:rPr>
          <w:rFonts w:ascii="Calibri" w:cs="Calibri" w:eastAsia="Calibri" w:hAnsi="Calibri"/>
          <w:b/>
          <w:bCs/>
          <w:i w:val="false"/>
          <w:iCs w:val="false"/>
          <w:sz w:val="22"/>
          <w:szCs w:val="22"/>
        </w:rPr>
        <w:t xml:space="preserve">zelfstandig leesbaar en los aanbiedbaar</w:t>
      </w:r>
      <w:r>
        <w:rPr>
          <w:rFonts w:ascii="Calibri" w:cs="Calibri" w:eastAsia="Calibri" w:hAnsi="Calibri"/>
          <w:b w:val="false"/>
          <w:bCs w:val="false"/>
          <w:i w:val="false"/>
          <w:iCs w:val="false"/>
          <w:sz w:val="22"/>
          <w:szCs w:val="22"/>
        </w:rPr>
        <w:t xml:space="preserve"> gemaakt. Dat heeft twee gevolgen voor hoe je dit deel geeft, afhankelijk van je publiek.</w:t>
      </w:r>
    </w:p>
    <w:p>
      <w:pPr>
        <w:spacing w:after="140" w:line="300"/>
      </w:pPr>
      <w:r>
        <w:rPr>
          <w:rFonts w:ascii="Calibri" w:cs="Calibri" w:eastAsia="Calibri" w:hAnsi="Calibri"/>
          <w:b/>
          <w:bCs/>
          <w:i w:val="false"/>
          <w:iCs w:val="false"/>
          <w:sz w:val="22"/>
          <w:szCs w:val="22"/>
        </w:rPr>
        <w:t xml:space="preserve">Als het deel binnen de volledige cursus wordt gegeven</w:t>
      </w:r>
      <w:r>
        <w:rPr>
          <w:rFonts w:ascii="Calibri" w:cs="Calibri" w:eastAsia="Calibri" w:hAnsi="Calibri"/>
          <w:b w:val="false"/>
          <w:bCs w:val="false"/>
          <w:i w:val="false"/>
          <w:iCs w:val="false"/>
          <w:sz w:val="22"/>
          <w:szCs w:val="22"/>
        </w:rPr>
        <w:t xml:space="preserve"> (de gangbare situatie): het bouwt rechtstreeks voort op de context map uit deel 11 tot en met 14 en de architectuurkeuzes uit deel 19. Begin met Iris' vraag aan het eind van deel 19 (§20.2) als directe aanhaking — deelnemers die deel 19 vers hebben, herkennen die vraag onmiddellijk.</w:t>
      </w:r>
    </w:p>
    <w:p>
      <w:pPr>
        <w:spacing w:after="140" w:line="300"/>
      </w:pPr>
      <w:r>
        <w:rPr>
          <w:rFonts w:ascii="Calibri" w:cs="Calibri" w:eastAsia="Calibri" w:hAnsi="Calibri"/>
          <w:b/>
          <w:bCs/>
          <w:i w:val="false"/>
          <w:iCs w:val="false"/>
          <w:sz w:val="22"/>
          <w:szCs w:val="22"/>
        </w:rPr>
        <w:t xml:space="preserve">Als het deel los wordt aangeboden</w:t>
      </w:r>
      <w:r>
        <w:rPr>
          <w:rFonts w:ascii="Calibri" w:cs="Calibri" w:eastAsia="Calibri" w:hAnsi="Calibri"/>
          <w:b w:val="false"/>
          <w:bCs w:val="false"/>
          <w:i w:val="false"/>
          <w:iCs w:val="false"/>
          <w:sz w:val="22"/>
          <w:szCs w:val="22"/>
        </w:rPr>
        <w:t xml:space="preserve"> (bijvoorbeeld aan een team dat net een reorganisatie achter de rug heeft, zonder de rest van de cursus): open met het kader "voor wie dit deel los volgt" bovenaan de reader, en behandel het casusdossier-fragment in §20.2 als voldoende introductie — je hoeft niet de volledige context map of de acht relaties uit te leggen. Dossierstuk 20-A en 20-B in het werkboek zijn zo opgezet dat ze zonder de rest van de cursus te lezen zijn. Laat in dit scenario opdracht 5 (die naar deel 13-14 verwijst) desnoods vervallen of vereenvoudig hem tot de namen van de patronen zonder verdere toelichting — de tabel in dossierstuk 20-B volstaat.</w:t>
      </w:r>
    </w:p>
    <w:p>
      <w:pPr>
        <w:pStyle w:val="ListParagraph"/>
        <w:numPr>
          <w:ilvl w:val="0"/>
          <w:numId w:val="1"/>
        </w:numPr>
        <w:spacing w:after="80"/>
      </w:pPr>
      <w:r>
        <w:rPr>
          <w:rFonts w:ascii="Calibri" w:cs="Calibri" w:eastAsia="Calibri" w:hAnsi="Calibri"/>
          <w:sz w:val="22"/>
          <w:szCs w:val="22"/>
        </w:rPr>
        <w:t xml:space="preserve">**Module-onderdeel:** dit deel is een cursus-eigen uitbreiding, geen letterlijk curriculumonderdeel van de officiële iSAQB-module — het opzetdocument benoemt Conway's Law en teamtopologieën expliciet als onderwerp dat wél nadrukkelijk bij DDD hoort maar niet in de officiële modulelijst staat. Positioneer het bij een losse doelgroep dan ook niet als examenvoorbereiding, maar als eigenstandige waarde: "bounded contexts zijn ook een organisatievraagstuk."</w:t>
      </w:r>
    </w:p>
    <w:p>
      <w:pPr>
        <w:pStyle w:val="ListParagraph"/>
        <w:numPr>
          <w:ilvl w:val="0"/>
          <w:numId w:val="1"/>
        </w:numPr>
        <w:spacing w:after="80"/>
      </w:pPr>
      <w:r>
        <w:rPr>
          <w:rFonts w:ascii="Calibri" w:cs="Calibri" w:eastAsia="Calibri" w:hAnsi="Calibri"/>
          <w:sz w:val="22"/>
          <w:szCs w:val="22"/>
        </w:rPr>
        <w:t xml:space="preserve">**Werkvorm:** de teamgrenskaart.</w:t>
      </w:r>
    </w:p>
    <w:p>
      <w:pPr>
        <w:pStyle w:val="ListParagraph"/>
        <w:numPr>
          <w:ilvl w:val="0"/>
          <w:numId w:val="1"/>
        </w:numPr>
        <w:spacing w:after="80"/>
      </w:pPr>
      <w:r>
        <w:rPr>
          <w:rFonts w:ascii="Calibri" w:cs="Calibri" w:eastAsia="Calibri" w:hAnsi="Calibri"/>
          <w:sz w:val="22"/>
          <w:szCs w:val="22"/>
        </w:rPr>
        <w:t xml:space="preserve">**Duur:** één dagdeel (circa 3,5 uur, met een pauze).</w:t>
      </w:r>
    </w:p>
    <w:p>
      <w:pPr>
        <w:pStyle w:val="ListParagraph"/>
        <w:numPr>
          <w:ilvl w:val="0"/>
          <w:numId w:val="1"/>
        </w:numPr>
        <w:spacing w:after="80"/>
      </w:pPr>
      <w:r>
        <w:rPr>
          <w:rFonts w:ascii="Calibri" w:cs="Calibri" w:eastAsia="Calibri" w:hAnsi="Calibri"/>
          <w:sz w:val="22"/>
          <w:szCs w:val="22"/>
        </w:rPr>
        <w:t xml:space="preserve">**Voorbereiding deelnemers (binnen de volledige cursus):** deel 11-14 en deel 19 afgerond. **Voorbereiding deelnemers (los aangeboden):** geen — het kader en het casusdossier-fragment in §20.2 zijn zelfvoorzienend.</w:t>
      </w:r>
    </w:p>
    <w:p>
      <w:pPr>
        <w:pStyle w:val="ListParagraph"/>
        <w:numPr>
          <w:ilvl w:val="0"/>
          <w:numId w:val="1"/>
        </w:numPr>
        <w:spacing w:after="80"/>
      </w:pPr>
      <w:r>
        <w:rPr>
          <w:rFonts w:ascii="Calibri" w:cs="Calibri" w:eastAsia="Calibri" w:hAnsi="Calibri"/>
          <w:sz w:val="22"/>
          <w:szCs w:val="22"/>
        </w:rPr>
        <w:t xml:space="preserve">**Materiaal vooraf regelen:** het invulblad van de teamgrenskaart (dossierstuk 20-C) per groepje; whiteboard of digitaal bord voor de schema's in opdracht 4, 5 en de plenaire terugkoppeling.</w:t>
      </w:r>
    </w:p>
    <w:p>
      <w:pPr>
        <w:pStyle w:val="Heading2"/>
        <w:spacing w:after="120" w:before="200"/>
      </w:pPr>
      <w:r>
        <w:rPr>
          <w:rFonts w:ascii="Georgia" w:cs="Georgia" w:eastAsia="Georgia" w:hAnsi="Georgia"/>
          <w:b/>
          <w:bCs/>
          <w:color w:val="2C5AA0"/>
          <w:sz w:val="28"/>
          <w:szCs w:val="28"/>
        </w:rPr>
        <w:t xml:space="preserve">2. Tijdschema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Iris' vraag (§20.2) — of, bij een los publiek, het kader "voor wie dit deel los volgt" + korte introductie van de vijf systemen (dossierstuk 20-A)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Conway's Law (§20.3) + opdracht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landschap tegen het licht van Conway's Law (§20.4) + opdracht 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een eigen voorbeeld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Teamtopologieën: vier vormen, drie samenwerkingsmanieren (§20.5) + opdracht 4 en 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reverse Conway-manoeuvre (§20.6) + opdracht 10 (kan hier al, als korte plenaire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teamgrenskaart geïntroduceerd (§20.7)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7, 8, 9 — de volledige teamgrenskaart voor Wegwijzer-KERN, stap voor stap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3:00-3:20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Toepassing (§20.8): de vier voorstellen aan Iris, en opdracht 11 als afsluitende opdracht (kan ook als huiswerk of vervolgsessie)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casus (§20.9), vooruitblik deel 21</w:t>
            </w:r>
          </w:p>
        </w:tc>
      </w:tr>
    </w:tbl>
    <w:p>
      <w:pPr>
        <w:spacing w:after="140" w:line="300"/>
      </w:pPr>
      <w:r>
        <w:rPr>
          <w:rFonts w:ascii="Calibri" w:cs="Calibri" w:eastAsia="Calibri" w:hAnsi="Calibri"/>
          <w:b w:val="false"/>
          <w:bCs w:val="false"/>
          <w:i w:val="false"/>
          <w:iCs w:val="false"/>
          <w:sz w:val="22"/>
          <w:szCs w:val="22"/>
        </w:rPr>
        <w:t xml:space="preserve">Loop je uit vóór de pauze, dan is opdracht 3 de kandidaat om te verkorten tot een korte plenaire ronde in plaats van tweetallen — de kern (Conway's Law herkennen buiten het Meridiaan-landschap) komt sowieso terug in opdracht 2. Schrap nooit opdracht 6 t/m 9: dit is de opbouw waarin de teamgrenskaart voor het eerst stap voor stap wordt ingevuld, en die opbouw is de kern van het dagdeel. Opdracht 11 kan, als de tijd echt te krap is, als vervolgopdracht na afloop worden meegegeven in plaats van in de sessie zelf.</w:t>
      </w:r>
    </w:p>
    <w:p>
      <w:pPr>
        <w:pStyle w:val="Heading2"/>
        <w:spacing w:after="120" w:before="200"/>
      </w:pPr>
      <w:r>
        <w:rPr>
          <w:rFonts w:ascii="Georgia" w:cs="Georgia" w:eastAsia="Georgia" w:hAnsi="Georgia"/>
          <w:b/>
          <w:bCs/>
          <w:color w:val="2C5AA0"/>
          <w:sz w:val="28"/>
          <w:szCs w:val="28"/>
        </w:rPr>
        <w:t xml:space="preserve">3. Didactische aanwijzingen</w:t>
      </w:r>
    </w:p>
    <w:p>
      <w:pPr>
        <w:spacing w:after="140" w:line="300"/>
      </w:pPr>
      <w:r>
        <w:rPr>
          <w:rFonts w:ascii="Calibri" w:cs="Calibri" w:eastAsia="Calibri" w:hAnsi="Calibri"/>
          <w:b/>
          <w:bCs/>
          <w:i w:val="false"/>
          <w:iCs w:val="false"/>
          <w:sz w:val="22"/>
          <w:szCs w:val="22"/>
        </w:rPr>
        <w:t xml:space="preserve">Opening bij een los publiek.</w:t>
      </w:r>
      <w:r>
        <w:rPr>
          <w:rFonts w:ascii="Calibri" w:cs="Calibri" w:eastAsia="Calibri" w:hAnsi="Calibri"/>
          <w:b w:val="false"/>
          <w:bCs w:val="false"/>
          <w:i w:val="false"/>
          <w:iCs w:val="false"/>
          <w:sz w:val="22"/>
          <w:szCs w:val="22"/>
        </w:rPr>
        <w:t xml:space="preserve"> Als je dit deel geeft aan een groep die de rest van de cursus niet kent, besteed dan geen tijd aan het uitleggen van bounded contexts, ubiquitous language of de tactische bouwstenen uit niveau 1 — dat is niet nodig om Conway's Law en teamtopologieën te begrijpen. Introduceer het begrip "systeemgrens die eigenlijk een teamgrens is" rechtstreeks, met het Meridiaan-landschap als illustratie, niet als vereiste voorkennis.</w:t>
      </w:r>
    </w:p>
    <w:p>
      <w:pPr>
        <w:spacing w:after="140" w:line="300"/>
      </w:pPr>
      <w:r>
        <w:rPr>
          <w:rFonts w:ascii="Calibri" w:cs="Calibri" w:eastAsia="Calibri" w:hAnsi="Calibri"/>
          <w:b/>
          <w:bCs/>
          <w:i w:val="false"/>
          <w:iCs w:val="false"/>
          <w:sz w:val="22"/>
          <w:szCs w:val="22"/>
        </w:rPr>
        <w:t xml:space="preserve">Iris' vraag (§20.2).</w:t>
      </w:r>
      <w:r>
        <w:rPr>
          <w:rFonts w:ascii="Calibri" w:cs="Calibri" w:eastAsia="Calibri" w:hAnsi="Calibri"/>
          <w:b w:val="false"/>
          <w:bCs w:val="false"/>
          <w:i w:val="false"/>
          <w:iCs w:val="false"/>
          <w:sz w:val="22"/>
          <w:szCs w:val="22"/>
        </w:rPr>
        <w:t xml:space="preserve"> Laat de vraag eerst even onbeantwoord hangen voordat je naar Conway's Law overstapt. Het effect van dit deel werkt beter als deelnemers zelf voelen dat ze de vraag nog niet kunnen beantwoorden, vóórdat je het instrument aanreikt dat wel een antwoord geeft.</w:t>
      </w:r>
    </w:p>
    <w:p>
      <w:pPr>
        <w:spacing w:after="140" w:line="300"/>
      </w:pPr>
      <w:r>
        <w:rPr>
          <w:rFonts w:ascii="Calibri" w:cs="Calibri" w:eastAsia="Calibri" w:hAnsi="Calibri"/>
          <w:b/>
          <w:bCs/>
          <w:i w:val="false"/>
          <w:iCs w:val="false"/>
          <w:sz w:val="22"/>
          <w:szCs w:val="22"/>
        </w:rPr>
        <w:t xml:space="preserve">Conway's Law (§20.3).</w:t>
      </w:r>
      <w:r>
        <w:rPr>
          <w:rFonts w:ascii="Calibri" w:cs="Calibri" w:eastAsia="Calibri" w:hAnsi="Calibri"/>
          <w:b w:val="false"/>
          <w:bCs w:val="false"/>
          <w:i w:val="false"/>
          <w:iCs w:val="false"/>
          <w:sz w:val="22"/>
          <w:szCs w:val="22"/>
        </w:rPr>
        <w:t xml:space="preserve"> Het grootste risico hier is dat deelnemers de wet als achterhaald of triviaal wegzetten ("dat wisten we al"). Vraag door met een concreet voorbeeld uit hun eigen ervaring vóór je verdergaat naar het Meridiaan-landschap — opdracht 3 kan hiervoor ook naar voren gehaald worden als de groep sceptisch is.</w:t>
      </w:r>
    </w:p>
    <w:p>
      <w:pPr>
        <w:spacing w:after="140" w:line="300"/>
      </w:pPr>
      <w:r>
        <w:rPr>
          <w:rFonts w:ascii="Calibri" w:cs="Calibri" w:eastAsia="Calibri" w:hAnsi="Calibri"/>
          <w:b/>
          <w:bCs/>
          <w:i w:val="false"/>
          <w:iCs w:val="false"/>
          <w:sz w:val="22"/>
          <w:szCs w:val="22"/>
        </w:rPr>
        <w:t xml:space="preserve">Opdracht 2 en 4 (§20.4-20.5).</w:t>
      </w:r>
      <w:r>
        <w:rPr>
          <w:rFonts w:ascii="Calibri" w:cs="Calibri" w:eastAsia="Calibri" w:hAnsi="Calibri"/>
          <w:b w:val="false"/>
          <w:bCs w:val="false"/>
          <w:i w:val="false"/>
          <w:iCs w:val="false"/>
          <w:sz w:val="22"/>
          <w:szCs w:val="22"/>
        </w:rPr>
        <w:t xml:space="preserve"> Bewaak dat deelnemers Conway's Law niet gebruiken als excuus ("het was toch al zo, dus we kunnen er niets aan doen") maar als diagnose-instrument. Benadruk het onderscheid tussen §20.3 (wat ongestuurd gebeurt) en §20.6 (wat je er bewust mee kunt doen) al vroeg, zodat deelnemers niet blijven hangen in fatalisme.</w:t>
      </w:r>
    </w:p>
    <w:p>
      <w:pPr>
        <w:spacing w:after="140" w:line="300"/>
      </w:pPr>
      <w:r>
        <w:rPr>
          <w:rFonts w:ascii="Calibri" w:cs="Calibri" w:eastAsia="Calibri" w:hAnsi="Calibri"/>
          <w:b/>
          <w:bCs/>
          <w:i w:val="false"/>
          <w:iCs w:val="false"/>
          <w:sz w:val="22"/>
          <w:szCs w:val="22"/>
        </w:rPr>
        <w:t xml:space="preserve">De vier teamvormen en drie samenwerkingsmanieren (§20.5).</w:t>
      </w:r>
      <w:r>
        <w:rPr>
          <w:rFonts w:ascii="Calibri" w:cs="Calibri" w:eastAsia="Calibri" w:hAnsi="Calibri"/>
          <w:b w:val="false"/>
          <w:bCs w:val="false"/>
          <w:i w:val="false"/>
          <w:iCs w:val="false"/>
          <w:sz w:val="22"/>
          <w:szCs w:val="22"/>
        </w:rPr>
        <w:t xml:space="preserve"> Behandel de vier vormen niet als een checklist om elk team van een label te voorzien, maar als een vraag: wat heeft déze bounded context nodig, en welke vorm past daarbij? Een team dat wordt gedwongen in een vorm die niet bij zijn werk past (bijvoorbeeld een stroomgericht team dat feitelijk als voorzienend team functioneert zonder dat iemand dat erkent) is precies het soort mismatch dat de teamgrenskaart later blootlegt.</w:t>
      </w:r>
    </w:p>
    <w:p>
      <w:pPr>
        <w:spacing w:after="140" w:line="300"/>
      </w:pPr>
      <w:r>
        <w:rPr>
          <w:rFonts w:ascii="Calibri" w:cs="Calibri" w:eastAsia="Calibri" w:hAnsi="Calibri"/>
          <w:b/>
          <w:bCs/>
          <w:i w:val="false"/>
          <w:iCs w:val="false"/>
          <w:sz w:val="22"/>
          <w:szCs w:val="22"/>
        </w:rPr>
        <w:t xml:space="preserve">§20.6 — de reverse Conway-manoeuvre en het mandaat.</w:t>
      </w:r>
      <w:r>
        <w:rPr>
          <w:rFonts w:ascii="Calibri" w:cs="Calibri" w:eastAsia="Calibri" w:hAnsi="Calibri"/>
          <w:b w:val="false"/>
          <w:bCs w:val="false"/>
          <w:i w:val="false"/>
          <w:iCs w:val="false"/>
          <w:sz w:val="22"/>
          <w:szCs w:val="22"/>
        </w:rPr>
        <w:t xml:space="preserve"> Dit is het scharnierpunt van het hele deel: het onderscheid tussen een technische diagnose (die het contextmap-team wél mag maken) en een organisatiebesluit (dat het niet mag nemen). Wees hier expliciet en herhaal het bij opdracht 8 en 10 — een veelgemaakte fout is dat groepen in stap 4 van de teamgrenskaart een voorstel formuleren dat feitelijk al een besluit veronderstelt ("we maken het team groter") in plaats van een voorstel met een expliciete beslisser.</w:t>
      </w:r>
    </w:p>
    <w:p>
      <w:pPr>
        <w:spacing w:after="140" w:line="300"/>
      </w:pPr>
      <w:r>
        <w:rPr>
          <w:rFonts w:ascii="Calibri" w:cs="Calibri" w:eastAsia="Calibri" w:hAnsi="Calibri"/>
          <w:b/>
          <w:bCs/>
          <w:i w:val="false"/>
          <w:iCs w:val="false"/>
          <w:sz w:val="22"/>
          <w:szCs w:val="22"/>
        </w:rPr>
        <w:t xml:space="preserve">Opdracht 6 t/m 9 — de teamgrenskaart stap voor stap.</w:t>
      </w:r>
      <w:r>
        <w:rPr>
          <w:rFonts w:ascii="Calibri" w:cs="Calibri" w:eastAsia="Calibri" w:hAnsi="Calibri"/>
          <w:b w:val="false"/>
          <w:bCs w:val="false"/>
          <w:i w:val="false"/>
          <w:iCs w:val="false"/>
          <w:sz w:val="22"/>
          <w:szCs w:val="22"/>
        </w:rPr>
        <w:t xml:space="preserve"> Laat deelnemers elke stap afzonderlijk afronden en kort plenair terugkoppelen voordat de volgende stap begint — vooral bij stap 4, waar de neiging bestaat om te snel naar een technische oplossing te springen in plaats van de organisatorische vraag ("wie beslist dit?") serieus te nemen.</w:t>
      </w:r>
    </w:p>
    <w:p>
      <w:pPr>
        <w:spacing w:after="140" w:line="300"/>
      </w:pPr>
      <w:r>
        <w:rPr>
          <w:rFonts w:ascii="Calibri" w:cs="Calibri" w:eastAsia="Calibri" w:hAnsi="Calibri"/>
          <w:b/>
          <w:bCs/>
          <w:i w:val="false"/>
          <w:iCs w:val="false"/>
          <w:sz w:val="22"/>
          <w:szCs w:val="22"/>
        </w:rPr>
        <w:t xml:space="preserve">Opdracht 9 — het afsluitende veld.</w:t>
      </w:r>
      <w:r>
        <w:rPr>
          <w:rFonts w:ascii="Calibri" w:cs="Calibri" w:eastAsia="Calibri" w:hAnsi="Calibri"/>
          <w:b w:val="false"/>
          <w:bCs w:val="false"/>
          <w:i w:val="false"/>
          <w:iCs w:val="false"/>
          <w:sz w:val="22"/>
          <w:szCs w:val="22"/>
        </w:rPr>
        <w:t xml:space="preserve"> Net als bij de andere Ductus-werkvormen in deze cursus is dit het veld waar de meeste oppervlakkige antwoorden ontstaan. Vraag door: "concreet — wat verandert er over drie maanden als niemand dit oppakt, en wie merkt dat als eerste?"</w:t>
      </w:r>
    </w:p>
    <w:p>
      <w:pPr>
        <w:pStyle w:val="Heading2"/>
        <w:spacing w:after="120" w:before="200"/>
      </w:pPr>
      <w:r>
        <w:rPr>
          <w:rFonts w:ascii="Georgia" w:cs="Georgia" w:eastAsia="Georgia" w:hAnsi="Georgia"/>
          <w:b/>
          <w:bCs/>
          <w:color w:val="2C5AA0"/>
          <w:sz w:val="28"/>
          <w:szCs w:val="28"/>
        </w:rPr>
        <w:t xml:space="preserve">4.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Conway's Law wordt afgedaan als "logisch, wisten we 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wet wordt als open deur ervaren zonder het diagnostische gebruik te zien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naar een concrete grens in hun eigen landschap die ze nog nooit aan een teamoorzaak hadden gekoppeld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teamvorm wordt toegekend zonder te toetsen wat de context echt nodig heeft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vormen worden als label gebruikt, niet als diagnose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dit team morgen een andere vorm kreeg, wat zou er dan concreet veranderen voor de bounded context die het draagt?"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Stap 4 van de teamgrenskaart wordt een kant-en-klaar besluit ("het team wordt groter")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onderscheid tussen diagnose en organisatiebesluit wordt overgeslagen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§20.6 en Iris' eigen woorden: vraag "wie neemt dit besluit, en wat heeft die persoon nodig om het te kunnen nemen?"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Conway's Law wordt gebruikt als excuus om niets te veranderen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Fatalisme in plaats van diagnose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de reverse Conway-manoeuvre: de wet werkt ook de andere kant op, als iemand het bewust stuurt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afsluitende veld wordt ingevuld met een vage bewering ("het zal wel misgaan")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veld wordt als formaliteit ingevuld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merkt dat als eerste, en waaraan? Wees zo concreet als Priya en Vera in §20.8"</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zonder de rest van de cursus raken verward door verwijzingen naar deel 13/14-patronen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Dossierstuk 20-B geeft de patroonnaam maar niet de volledige uitleg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Behandel de patroonnaam als label, niet als iets dat uitgelegd moet worden — de teamgrenskaart werkt ook zonder de volledige context-mappingtheorie te kennen</w:t>
            </w:r>
          </w:p>
        </w:tc>
      </w:tr>
    </w:tbl>
    <w:p>
      <w:pPr>
        <w:pStyle w:val="Heading2"/>
        <w:spacing w:after="120" w:before="200"/>
      </w:pPr>
      <w:r>
        <w:rPr>
          <w:rFonts w:ascii="Georgia" w:cs="Georgia" w:eastAsia="Georgia" w:hAnsi="Georgia"/>
          <w:b/>
          <w:bCs/>
          <w:color w:val="2C5AA0"/>
          <w:sz w:val="28"/>
          <w:szCs w:val="28"/>
        </w:rPr>
        <w:t xml:space="preserve">5. Beoordeling</w:t>
      </w:r>
    </w:p>
    <w:p>
      <w:pPr>
        <w:spacing w:after="140" w:line="300"/>
      </w:pPr>
      <w:r>
        <w:rPr>
          <w:rFonts w:ascii="Calibri" w:cs="Calibri" w:eastAsia="Calibri" w:hAnsi="Calibri"/>
          <w:b w:val="false"/>
          <w:bCs w:val="false"/>
          <w:i w:val="false"/>
          <w:iCs w:val="false"/>
          <w:sz w:val="22"/>
          <w:szCs w:val="22"/>
        </w:rPr>
        <w:t xml:space="preserve">Deel 20 wordt niet becijferd. Houd bij, per groepje, of stap 2 van de teamgrenskaart een concreet organisatiekenmerk benoemt (niet alleen een indruk), of stap 3 het patroon expliciet toetst in plaats van te herhalen wat er al bekend was, en of stap 4 een voorstel formuleert mét een expliciet benoemde beslisser. Houd bij of het afsluitende veld een concreet, tijdgebonden gevolg beschrijft. Noteer per groep: voldoet / voldoet met hulp / voldoet niet.</w:t>
      </w:r>
    </w:p>
    <w:p>
      <w:pPr>
        <w:pStyle w:val="Heading2"/>
        <w:spacing w:after="120" w:before="200"/>
      </w:pPr>
      <w:r>
        <w:rPr>
          <w:rFonts w:ascii="Georgia" w:cs="Georgia" w:eastAsia="Georgia" w:hAnsi="Georgia"/>
          <w:b/>
          <w:bCs/>
          <w:color w:val="2C5AA0"/>
          <w:sz w:val="28"/>
          <w:szCs w:val="28"/>
        </w:rPr>
        <w:t xml:space="preserve">6. Materiaal</w:t>
      </w:r>
    </w:p>
    <w:p>
      <w:pPr>
        <w:pStyle w:val="ListParagraph"/>
        <w:numPr>
          <w:ilvl w:val="0"/>
          <w:numId w:val="1"/>
        </w:numPr>
        <w:spacing w:after="80"/>
      </w:pPr>
      <w:r>
        <w:rPr>
          <w:rFonts w:ascii="Calibri" w:cs="Calibri" w:eastAsia="Calibri" w:hAnsi="Calibri"/>
          <w:sz w:val="22"/>
          <w:szCs w:val="22"/>
        </w:rPr>
        <w:t xml:space="preserve">Casusdossier niveau 2 (§4, de personages; §5, de zeven/acht relaties) — bij een los publiek volstaat dossierstuk 20-A en 20-B uit het werkboek</w:t>
      </w:r>
    </w:p>
    <w:p>
      <w:pPr>
        <w:pStyle w:val="ListParagraph"/>
        <w:numPr>
          <w:ilvl w:val="0"/>
          <w:numId w:val="1"/>
        </w:numPr>
        <w:spacing w:after="80"/>
      </w:pPr>
      <w:r>
        <w:rPr>
          <w:rFonts w:ascii="Calibri" w:cs="Calibri" w:eastAsia="Calibri" w:hAnsi="Calibri"/>
          <w:sz w:val="22"/>
          <w:szCs w:val="22"/>
        </w:rPr>
        <w:t xml:space="preserve">Uitkomsten van deel 13-14 en deel 19, indien dit deel binnen de volledige cursus wordt gegeven</w:t>
      </w:r>
    </w:p>
    <w:p>
      <w:pPr>
        <w:pStyle w:val="ListParagraph"/>
        <w:numPr>
          <w:ilvl w:val="0"/>
          <w:numId w:val="1"/>
        </w:numPr>
        <w:spacing w:after="80"/>
      </w:pPr>
      <w:r>
        <w:rPr>
          <w:rFonts w:ascii="Calibri" w:cs="Calibri" w:eastAsia="Calibri" w:hAnsi="Calibri"/>
          <w:sz w:val="22"/>
          <w:szCs w:val="22"/>
        </w:rPr>
        <w:t xml:space="preserve">Werkboek deel 20, inclusief dossierstukken 20-A, 20-B en 20-C</w:t>
      </w:r>
    </w:p>
    <w:p>
      <w:pPr>
        <w:pStyle w:val="ListParagraph"/>
        <w:numPr>
          <w:ilvl w:val="0"/>
          <w:numId w:val="1"/>
        </w:numPr>
        <w:spacing w:after="80"/>
      </w:pPr>
      <w:r>
        <w:rPr>
          <w:rFonts w:ascii="Calibri" w:cs="Calibri" w:eastAsia="Calibri" w:hAnsi="Calibri"/>
          <w:sz w:val="22"/>
          <w:szCs w:val="22"/>
        </w:rPr>
        <w:t xml:space="preserve">Slidedeck deel 20</w:t>
      </w:r>
    </w:p>
    <w:p>
      <w:pPr>
        <w:pStyle w:val="ListParagraph"/>
        <w:numPr>
          <w:ilvl w:val="0"/>
          <w:numId w:val="1"/>
        </w:numPr>
        <w:spacing w:after="80"/>
      </w:pPr>
      <w:r>
        <w:rPr>
          <w:rFonts w:ascii="Calibri" w:cs="Calibri" w:eastAsia="Calibri" w:hAnsi="Calibri"/>
          <w:sz w:val="22"/>
          <w:szCs w:val="22"/>
        </w:rPr>
        <w:t xml:space="preserve">Whiteboard of digitaal bord voor de schema's en de plenaire terugkoppeling</w:t>
      </w:r>
    </w:p>
    <w:p>
      <w:pPr>
        <w:pStyle w:val="ListParagraph"/>
        <w:numPr>
          <w:ilvl w:val="0"/>
          <w:numId w:val="1"/>
        </w:numPr>
        <w:spacing w:after="80"/>
      </w:pPr>
      <w:r>
        <w:rPr>
          <w:rFonts w:ascii="Calibri" w:cs="Calibri" w:eastAsia="Calibri" w:hAnsi="Calibri"/>
          <w:sz w:val="22"/>
          <w:szCs w:val="22"/>
        </w:rPr>
        <w:t xml:space="preserve">Teamgrenskaarten (blanco), minstens twee per groepje</w:t>
      </w:r>
    </w:p>
    <w:p>
      <w:pPr>
        <w:pStyle w:val="Heading2"/>
        <w:spacing w:after="120" w:before="200"/>
      </w:pPr>
      <w:r>
        <w:rPr>
          <w:rFonts w:ascii="Georgia" w:cs="Georgia" w:eastAsia="Georgia" w:hAnsi="Georgia"/>
          <w:b/>
          <w:bCs/>
          <w:color w:val="2C5AA0"/>
          <w:sz w:val="28"/>
          <w:szCs w:val="28"/>
        </w:rPr>
        <w:t xml:space="preserve">7. Aantekeningen voor de docent over positionering en IP</w:t>
      </w:r>
    </w:p>
    <w:p>
      <w:pPr>
        <w:pStyle w:val="ListParagraph"/>
        <w:numPr>
          <w:ilvl w:val="0"/>
          <w:numId w:val="1"/>
        </w:numPr>
        <w:spacing w:after="80"/>
      </w:pPr>
      <w:r>
        <w:rPr>
          <w:rFonts w:ascii="Calibri" w:cs="Calibri" w:eastAsia="Calibri" w:hAnsi="Calibri"/>
          <w:sz w:val="22"/>
          <w:szCs w:val="22"/>
        </w:rPr>
        <w:t xml:space="preserve">**Conway's Law is een feitelijke, vrij te noemen waarneming** (gepubliceerd door Melvin Conway in 1968) — geen beschermde uitdrukkingsvorm. **Teamtopologieën als denkkader** (vier teamvormen, drie interactiemodi) is eveneens feitelijk vrij te beschrijven; dit deel gebruikt eigen formuleringen, een eigen figurenset (20-1 t/m 20-7) en een eigen werkvorm (de teamgrenskaart) die geen letterlijke diagrammen of matrices van een specifiek boek natekent. Waar de tekst de vier vormen en drie manieren beschrijft, gebeurt dat in eigen, aan het Meridiaan-landschap gebonden bewoordingen — niet als parafrase van een bestaand model dichtbij het origineel.</w:t>
      </w:r>
    </w:p>
    <w:p>
      <w:pPr>
        <w:pStyle w:val="ListParagraph"/>
        <w:numPr>
          <w:ilvl w:val="0"/>
          <w:numId w:val="1"/>
        </w:numPr>
        <w:spacing w:after="80"/>
      </w:pPr>
      <w:r>
        <w:rPr>
          <w:rFonts w:ascii="Calibri" w:cs="Calibri" w:eastAsia="Calibri" w:hAnsi="Calibri"/>
          <w:sz w:val="22"/>
          <w:szCs w:val="22"/>
        </w:rPr>
        <w:t xml:space="preserve">**Geen Locked Platform-verwijzing in dit deel.** Het opzetdocument (§4) plaatst de twee toegestane Locked Platform-kaders in deel 18 en 19; dit deel blijft daar bewust buiten, ook omdat het los aanbiedbaar moet zijn aan publiek dat niets met het Locked Platform te maken heeft.</w:t>
      </w:r>
    </w:p>
    <w:p>
      <w:pPr>
        <w:pStyle w:val="ListParagraph"/>
        <w:numPr>
          <w:ilvl w:val="0"/>
          <w:numId w:val="1"/>
        </w:numPr>
        <w:spacing w:after="80"/>
      </w:pPr>
      <w:r>
        <w:rPr>
          <w:rFonts w:ascii="Calibri" w:cs="Calibri" w:eastAsia="Calibri" w:hAnsi="Calibri"/>
          <w:sz w:val="22"/>
          <w:szCs w:val="22"/>
        </w:rPr>
        <w:t xml:space="preserve">**Dit deel is het enige deel in niveau 2 dat zonder enige voorkennis van de rest van de cursus te geven is.** Bewaar dat kenmerk bij eventuele latere revisies: elke wijziging die een onvermelde afhankelijkheid van deel 11-19 introduceert (buiten het kader dat al vooraf gaat) ondermijnt de "los aanbiedbaar"-belofte uit het opzetdocument.</w:t>
      </w:r>
    </w:p>
    <w:p>
      <w:pPr>
        <w:pStyle w:val="ListParagraph"/>
        <w:numPr>
          <w:ilvl w:val="0"/>
          <w:numId w:val="1"/>
        </w:numPr>
        <w:spacing w:after="80"/>
      </w:pPr>
      <w:r>
        <w:rPr>
          <w:rFonts w:ascii="Calibri" w:cs="Calibri" w:eastAsia="Calibri" w:hAnsi="Calibri"/>
          <w:sz w:val="22"/>
          <w:szCs w:val="22"/>
        </w:rPr>
        <w:t xml:space="preserve">Kondig aan het eind van het dagdeel aan dat deel 21 (domain events als integratiemiddel tussen contexts) weer binnen de doorlopende cursus valt, en dat de teamgrenskaart-uitkomsten van dit deel (met name de constatering dat KERN en het Mutatieplatform een shared kernel dragen zonder gestructureerde, intensieve samenwerking) rechtstreeks terugkomen als motivatie voor domain events als lichter integratiemiddel.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2026-08-16T19:18:53.570Z</dcterms:created>
  <dcterms:modified xsi:type="dcterms:W3CDTF">2026-08-16T19:18:53.570Z</dcterms:modified>
</cp:coreProperties>
</file>

<file path=docProps/custom.xml><?xml version="1.0" encoding="utf-8"?>
<Properties xmlns="http://schemas.openxmlformats.org/officeDocument/2006/custom-properties" xmlns:vt="http://schemas.openxmlformats.org/officeDocument/2006/docPropsVTypes"/>
</file>