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20 — Bounded contexts en teams: Conway's Law en teamtopologieën</w:t>
      </w:r>
    </w:p>
    <w:p>
      <w:pPr>
        <w:spacing w:after="140" w:line="300"/>
      </w:pPr>
      <w:r>
        <w:rPr>
          <w:rFonts w:ascii="Calibri" w:cs="Calibri" w:eastAsia="Calibri" w:hAnsi="Calibri"/>
          <w:b w:val="false"/>
          <w:bCs w:val="false"/>
          <w:i w:val="false"/>
          <w:iCs w:val="false"/>
          <w:sz w:val="22"/>
          <w:szCs w:val="22"/>
        </w:rPr>
        <w:t xml:space="preserve">Werkboek · Ductus-cursus Domain-Driven Design · niveau 2 · deel 20 van 30 · zelfstandig leesbaar</w:t>
      </w:r>
    </w:p>
    <w:p>
      <w:pPr>
        <w:spacing w:after="140" w:line="300"/>
      </w:pPr>
      <w:r>
        <w:rPr>
          <w:rFonts w:ascii="Calibri" w:cs="Calibri" w:eastAsia="Calibri" w:hAnsi="Calibri"/>
          <w:b w:val="false"/>
          <w:bCs w:val="false"/>
          <w:i w:val="false"/>
          <w:iCs w:val="false"/>
          <w:sz w:val="22"/>
          <w:szCs w:val="22"/>
        </w:rPr>
        <w:t xml:space="preserve">Elf opdrachten. Opdracht 1 t/m 5 behandelen Conway's Law en de vier teamvormen/drie samenwerkingsmanieren; opdracht 6 t/m 11 werken met de teamgrenskaart op het Meridiaan-landschap. Wie dit deel los volgt: dossierstuk 20-A geeft de vijf systemen kort samengevat, dossierstuk 20-B de acht relaties uit de context map — je hebt de rest van de cursus niet nodig om te beginnen. De uitwerkingen staan achterin; werk een opdracht af voordat je die leest.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20-A — De vijf systemen, kort samengevat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Systeem</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Team</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Kenmerk relevant voor dit 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KERN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Vera Almeida (architect)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groot, veertien jaar samen, meest toegankelijke plek om iets bij onder te brengen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Werkgeversportaal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Karsten Rooijakker (architect)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klein na WGP 2.0, die keuze nooit heroverwogen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Mutatieplatform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Otto Feenstra (developer), nog te bouwen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nieuw, klein, moet vier relaties tegelijk dragen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Nabestaandenloket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klein, zelfstandig, enige systeem met bewust getekende grens (niveau 1)</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Wegwijzer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Priya Chandra (productlead)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klein, nieuw, tot nu toe zonder onderhandelingspositie</w:t>
            </w:r>
          </w:p>
        </w:tc>
      </w:tr>
    </w:tbl>
    <w:p>
      <w:pPr>
        <w:pStyle w:val="Heading2"/>
        <w:spacing w:after="120" w:before="200"/>
      </w:pPr>
      <w:r>
        <w:rPr>
          <w:rFonts w:ascii="Georgia" w:cs="Georgia" w:eastAsia="Georgia" w:hAnsi="Georgia"/>
          <w:b/>
          <w:bCs/>
          <w:color w:val="2C5AA0"/>
          <w:sz w:val="28"/>
          <w:szCs w:val="28"/>
        </w:rPr>
        <w:t xml:space="preserve">Dossierstuk 20-B — Vier van de acht relaties uit de context map (deel 13-14)</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Relatie</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Patroon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Werkgeversportaal ↔ Mutatieplatform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partnership</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KERN ↔ Mutatieplatform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shared kernel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Wegwijzer ↔ KERN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conformist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Mutatieplatform ↔ Wegwijzer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open host service</w:t>
            </w:r>
          </w:p>
        </w:tc>
      </w:tr>
    </w:tbl>
    <w:p>
      <w:pPr>
        <w:pStyle w:val="Heading2"/>
        <w:spacing w:after="120" w:before="200"/>
      </w:pPr>
      <w:r>
        <w:rPr>
          <w:rFonts w:ascii="Georgia" w:cs="Georgia" w:eastAsia="Georgia" w:hAnsi="Georgia"/>
          <w:b/>
          <w:bCs/>
          <w:color w:val="2C5AA0"/>
          <w:sz w:val="28"/>
          <w:szCs w:val="28"/>
        </w:rPr>
        <w:t xml:space="preserve">Dossierstuk 20-C — De teamgrenskaart in het kort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Stap</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Vraag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Contextgrens en context-mappingpatroon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teams in Conway-termen: grootte, leeftijd, gemak van contact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Teamvorm en samenwerkingsmanier tegen het patroon getoetst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Reverse Conway-voorstel, met de beslisser benoemd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Dat het verschil maakt: welke grens verschuift er vanzelf, en naar wat, als niemand ingrijpt?</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 — Conway's Law in eigen woorden (10 min, plenair)</w:t>
      </w:r>
    </w:p>
    <w:p>
      <w:pPr>
        <w:spacing w:after="140" w:line="300"/>
      </w:pPr>
      <w:r>
        <w:rPr>
          <w:rFonts w:ascii="Calibri" w:cs="Calibri" w:eastAsia="Calibri" w:hAnsi="Calibri"/>
          <w:b w:val="false"/>
          <w:bCs w:val="false"/>
          <w:i w:val="false"/>
          <w:iCs w:val="false"/>
          <w:sz w:val="22"/>
          <w:szCs w:val="22"/>
        </w:rPr>
        <w:t xml:space="preserve">Formuleer, zonder de reader erbij te pakken, Conway's Law in twee zinnen: wat gebeurt er, en waarom (het mechanisme achter de wet, niet alleen de uitkomst). Vergelijk daarna met §20.3.</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Vera's verklaring voor KERN (10 min, tweetallen)</w:t>
      </w:r>
    </w:p>
    <w:p>
      <w:pPr>
        <w:spacing w:after="140" w:line="300"/>
      </w:pPr>
      <w:r>
        <w:rPr>
          <w:rFonts w:ascii="Calibri" w:cs="Calibri" w:eastAsia="Calibri" w:hAnsi="Calibri"/>
          <w:b w:val="false"/>
          <w:bCs w:val="false"/>
          <w:i w:val="false"/>
          <w:iCs w:val="false"/>
          <w:sz w:val="22"/>
          <w:szCs w:val="22"/>
        </w:rPr>
        <w:t xml:space="preserve">Vera stelt dat Conway's Law verklaart waarom KERN groter is dan enig domeinontwerp zou hebben voorgesteld (§20.3-20.4). Leg in eigen woorden uit hoe een organisatiekenmerk (toegankelijkheid van een team) tot een technisch gevolg (omvang van een systeem) leidt, stap voor stap.</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Een eigen voorbeeld van Conway's Law (15 min, tweetallen)</w:t>
      </w:r>
    </w:p>
    <w:p>
      <w:pPr>
        <w:spacing w:after="140" w:line="300"/>
      </w:pPr>
      <w:r>
        <w:rPr>
          <w:rFonts w:ascii="Calibri" w:cs="Calibri" w:eastAsia="Calibri" w:hAnsi="Calibri"/>
          <w:b w:val="false"/>
          <w:bCs w:val="false"/>
          <w:i w:val="false"/>
          <w:iCs w:val="false"/>
          <w:sz w:val="22"/>
          <w:szCs w:val="22"/>
        </w:rPr>
        <w:t xml:space="preserve">Bedenk, buiten het Meridiaan-landschap, een herkenbaar voorbeeld van Conway's Law uit je eigen ervaring of omgeving: een systeemgrens die eigenlijk een teamgrens is. Benoem specifiek welk organisatiekenmerk (grootte, locatie, rapportagelijn, historie) de grens heeft veroorzaakt.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De vier teamvormen koppelen aan het landschap (15 min, groepjes van drie tot vier)</w:t>
      </w:r>
    </w:p>
    <w:p>
      <w:pPr>
        <w:spacing w:after="140" w:line="300"/>
      </w:pPr>
      <w:r>
        <w:rPr>
          <w:rFonts w:ascii="Calibri" w:cs="Calibri" w:eastAsia="Calibri" w:hAnsi="Calibri"/>
          <w:b w:val="false"/>
          <w:bCs w:val="false"/>
          <w:i w:val="false"/>
          <w:iCs w:val="false"/>
          <w:sz w:val="22"/>
          <w:szCs w:val="22"/>
        </w:rPr>
        <w:t xml:space="preserve">Reader §20.5 koppelt drie van de vier teamvormen al aan een voorbeeld uit het landschap (Nabestaandenloket, Foppe, het actuariële deel van KERN). Bedenk zelf een voorbeeld — uit het Meridiaan-landschap of van elders — voor de tweede teamvorm (een team dat een herbruikbare voorziening levert waar andere teams op leunen).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De drie samenwerkingsmanieren herkennen in de context map (15 min, groepjes van drie tot vier)</w:t>
      </w:r>
    </w:p>
    <w:p>
      <w:pPr>
        <w:spacing w:after="140" w:line="300"/>
      </w:pPr>
      <w:r>
        <w:rPr>
          <w:rFonts w:ascii="Calibri" w:cs="Calibri" w:eastAsia="Calibri" w:hAnsi="Calibri"/>
          <w:b w:val="false"/>
          <w:bCs w:val="false"/>
          <w:i w:val="false"/>
          <w:iCs w:val="false"/>
          <w:sz w:val="22"/>
          <w:szCs w:val="22"/>
        </w:rPr>
        <w:t xml:space="preserve">Vera legt in §20.5 de drie samenwerkingsmanieren naast de context-mappingpatronen uit deel 13-14. Neem de vier relaties uit dossierstuk 20-B en bepaal, voor elke relatie, welke van de drie samenwerkingsmanieren (intensief en tijdelijk / als dienst / tijdelijk ondersteunend) daar in theorie bij zou passen. Je hoeft de context-mappingpatronen niet uit een andere cursus te kennen — de naam van het patroon in de tabel is genoeg.</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6 — Stap 1 en 2 van de teamgrenskaart voor Wegwijzer-KERN (20 min, groepjes van drie tot vier)</w:t>
      </w:r>
    </w:p>
    <w:p>
      <w:pPr>
        <w:spacing w:after="140" w:line="300"/>
      </w:pPr>
      <w:r>
        <w:rPr>
          <w:rFonts w:ascii="Calibri" w:cs="Calibri" w:eastAsia="Calibri" w:hAnsi="Calibri"/>
          <w:b w:val="false"/>
          <w:bCs w:val="false"/>
          <w:i w:val="false"/>
          <w:iCs w:val="false"/>
          <w:sz w:val="22"/>
          <w:szCs w:val="22"/>
        </w:rPr>
        <w:t xml:space="preserve">Vul, op basis van dossierstuk 20-A en 20-B, stap 1 en 2 van de teamgrenskaart in voor de relatie Wegwijzer-KERN. Wees concreet in stap 2: wat maakt het contact tussen de twee teams gemakkelijk of moeizaam?</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7 — Stap 3: past de teamstructuur bij het patroon? (15 min, groepjes van drie tot vier)</w:t>
      </w:r>
    </w:p>
    <w:p>
      <w:pPr>
        <w:spacing w:after="140" w:line="300"/>
      </w:pPr>
      <w:r>
        <w:rPr>
          <w:rFonts w:ascii="Calibri" w:cs="Calibri" w:eastAsia="Calibri" w:hAnsi="Calibri"/>
          <w:b w:val="false"/>
          <w:bCs w:val="false"/>
          <w:i w:val="false"/>
          <w:iCs w:val="false"/>
          <w:sz w:val="22"/>
          <w:szCs w:val="22"/>
        </w:rPr>
        <w:t xml:space="preserve">Ga verder met dezelfde relatie. Toets: past de huidige samenwerking tussen Wegwijzer en KERN bij wat een conformist-relatie eigenlijk vraagt, of is de relatie ontstaan om een andere reden dan het domein? Onderbouw met een concreet kenmerk uit dossierstuk 20-A, niet met een algemene indruk.</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8 — Stap 4: een reverse Conway-voorstel formuleren (15 min, groepjes van drie tot vier)</w:t>
      </w:r>
    </w:p>
    <w:p>
      <w:pPr>
        <w:spacing w:after="140" w:line="300"/>
      </w:pPr>
      <w:r>
        <w:rPr>
          <w:rFonts w:ascii="Calibri" w:cs="Calibri" w:eastAsia="Calibri" w:hAnsi="Calibri"/>
          <w:b w:val="false"/>
          <w:bCs w:val="false"/>
          <w:i w:val="false"/>
          <w:iCs w:val="false"/>
          <w:sz w:val="22"/>
          <w:szCs w:val="22"/>
        </w:rPr>
        <w:t xml:space="preserve">Formuleer een reverse Conway-voorstel voor Wegwijzer-KERN: wat zou er aan de teamstructuur of -samenwerking moeten veranderen, en bij wie ligt dat besluit? Vermijd een voorstel dat feitelijk een architectuurbeslissing is (dat hoort bij deel 19) — dit gaat over de mensen en hun samenwerking, niet over het model of het patroon zelf.</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9 — Het afsluitende veld invullen (10 min, plenair)</w:t>
      </w:r>
    </w:p>
    <w:p>
      <w:pPr>
        <w:spacing w:after="140" w:line="300"/>
      </w:pPr>
      <w:r>
        <w:rPr>
          <w:rFonts w:ascii="Calibri" w:cs="Calibri" w:eastAsia="Calibri" w:hAnsi="Calibri"/>
          <w:b w:val="false"/>
          <w:bCs w:val="false"/>
          <w:i w:val="false"/>
          <w:iCs w:val="false"/>
          <w:sz w:val="22"/>
          <w:szCs w:val="22"/>
        </w:rPr>
        <w:t xml:space="preserve">Vul voor dezelfde relatie het afsluitende veld in: als niemand deze mismatch benoemt, welke contextgrens verschuift er dan vanzelf, en naar wat? Wees specifiek — "het wordt rommelig" is geen concreet antwoord.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10 — De reverse Conway-manoeuvre en de grens van het instrument (10 min, plenair)</w:t>
      </w:r>
    </w:p>
    <w:p>
      <w:pPr>
        <w:spacing w:after="140" w:line="300"/>
      </w:pPr>
      <w:r>
        <w:rPr>
          <w:rFonts w:ascii="Calibri" w:cs="Calibri" w:eastAsia="Calibri" w:hAnsi="Calibri"/>
          <w:b w:val="false"/>
          <w:bCs w:val="false"/>
          <w:i w:val="false"/>
          <w:iCs w:val="false"/>
          <w:sz w:val="22"/>
          <w:szCs w:val="22"/>
        </w:rPr>
        <w:t xml:space="preserve">Reader §20.6 stelt dat een reverse Conway-voorstel een organisatiebesluit is, geen mandaat voor het contextmap-team. Leg uit waarom dat onderscheid belangrijk is, en wat er mis zou gaan als een modelleursteam zichzelf wél het mandaat zou geven om teams te herstructureren.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11 — De volledige teamgrenskaart voor een tweede relatie (30 min, groepjes van drie tot vier)</w:t>
      </w:r>
    </w:p>
    <w:p>
      <w:pPr>
        <w:spacing w:after="140" w:line="300"/>
      </w:pPr>
      <w:r>
        <w:rPr>
          <w:rFonts w:ascii="Calibri" w:cs="Calibri" w:eastAsia="Calibri" w:hAnsi="Calibri"/>
          <w:b w:val="false"/>
          <w:bCs w:val="false"/>
          <w:i w:val="false"/>
          <w:iCs w:val="false"/>
          <w:sz w:val="22"/>
          <w:szCs w:val="22"/>
        </w:rPr>
        <w:t xml:space="preserve">Kies één van de overige drie relaties uit dossierstuk 20-B (Werkgeversportaal-Mutatieplatform, KERN-Mutatieplatform, of Mutatieplatform-Wegwijzer) en vul de volledige teamgrenskaart in: alle vier stappen plus het afsluitende veld. Bereid je voor om, net als Karsten in §20.8, het voorstel te formuleren als iets dat je aan een programmamanager zou voorleggen — niet als een besluit, maar als een diagnose met een concreet gevolg als niemand ingrijpt.</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1</w:t>
      </w:r>
    </w:p>
    <w:p>
      <w:pPr>
        <w:spacing w:after="140" w:line="300"/>
      </w:pPr>
      <w:r>
        <w:rPr>
          <w:rFonts w:ascii="Calibri" w:cs="Calibri" w:eastAsia="Calibri" w:hAnsi="Calibri"/>
          <w:b w:val="false"/>
          <w:bCs w:val="false"/>
          <w:i w:val="false"/>
          <w:iCs w:val="false"/>
          <w:sz w:val="22"/>
          <w:szCs w:val="22"/>
        </w:rPr>
        <w:t xml:space="preserve">Conway's Law: een organisatie die een systeem bouwt, levert een systeem op waarvan de structuur de communicatiestructuur van de organisatie weerspiegelt. Het mechanisme: een ontwerpbeslissing die twee onderdelen raakt, vereist afstemming tussen de bouwers ervan — waar die afstemming gemakkelijk is (binnen één team) ontstaat een naadloze koppeling, waar ze moeizaam is (tussen teams die zelden overleggen) ontstaat vanzelf een grens, ongeacht wat het domein zou rechtvaardigen.</w:t>
      </w:r>
    </w:p>
    <w:p>
      <w:pPr>
        <w:pStyle w:val="Heading2"/>
        <w:spacing w:after="120" w:before="200"/>
      </w:pPr>
      <w:r>
        <w:rPr>
          <w:rFonts w:ascii="Georgia" w:cs="Georgia" w:eastAsia="Georgia" w:hAnsi="Georgia"/>
          <w:b/>
          <w:bCs/>
          <w:color w:val="2C5AA0"/>
          <w:sz w:val="28"/>
          <w:szCs w:val="28"/>
        </w:rPr>
        <w:t xml:space="preserve">Uitwerking 2</w:t>
      </w:r>
    </w:p>
    <w:p>
      <w:pPr>
        <w:spacing w:after="140" w:line="300"/>
      </w:pPr>
      <w:r>
        <w:rPr>
          <w:rFonts w:ascii="Calibri" w:cs="Calibri" w:eastAsia="Calibri" w:hAnsi="Calibri"/>
          <w:b w:val="false"/>
          <w:bCs w:val="false"/>
          <w:i w:val="false"/>
          <w:iCs w:val="false"/>
          <w:sz w:val="22"/>
          <w:szCs w:val="22"/>
        </w:rPr>
        <w:t xml:space="preserve">Stap voor stap: KERN's team is groot, bestaat al lang en is voor andere teams de meest toegankelijke plek om iets onder te brengen (organisatiekenmerk) → een team dat elders een uitbreiding nodig heeft, kiest de weg van de minste weerstand en voegt functionaliteit toe aan KERN in plaats van een nieuw team of systeem op te tuigen (gedragskeuze onder tijdsdruk) → over veertien jaar stapelen die keuzes zich op, en KERN wordt technisch groter en veelzijdiger dan enig domeinontwerp ooit zou hebben voorgesteld (technisch gevolg). De oorzaak is dus niet een technische beslissing maar een organisatorische: toegankelijkheid van het team leidde tot omvang van het systeem.</w:t>
      </w:r>
    </w:p>
    <w:p>
      <w:pPr>
        <w:pStyle w:val="Heading2"/>
        <w:spacing w:after="120" w:before="200"/>
      </w:pPr>
      <w:r>
        <w:rPr>
          <w:rFonts w:ascii="Georgia" w:cs="Georgia" w:eastAsia="Georgia" w:hAnsi="Georgia"/>
          <w:b/>
          <w:bCs/>
          <w:color w:val="2C5AA0"/>
          <w:sz w:val="28"/>
          <w:szCs w:val="28"/>
        </w:rPr>
        <w:t xml:space="preserve">Uitwerking 3</w:t>
      </w:r>
    </w:p>
    <w:p>
      <w:pPr>
        <w:spacing w:after="140" w:line="300"/>
      </w:pPr>
      <w:r>
        <w:rPr>
          <w:rFonts w:ascii="Calibri" w:cs="Calibri" w:eastAsia="Calibri" w:hAnsi="Calibri"/>
          <w:b w:val="false"/>
          <w:bCs w:val="false"/>
          <w:i w:val="false"/>
          <w:iCs w:val="false"/>
          <w:sz w:val="22"/>
          <w:szCs w:val="22"/>
        </w:rPr>
        <w:t xml:space="preserve">Geen vaste uitwerking. Beoordeel op: wordt er een concreet organisatiekenmerk benoemd (niet alleen "de afdelingen werkten niet goed samen"), en wordt de stap van organisatiekenmerk naar systeemgrens expliciet gemaakt, net als in uitwerking 2.</w:t>
      </w:r>
    </w:p>
    <w:p>
      <w:pPr>
        <w:pStyle w:val="Heading2"/>
        <w:spacing w:after="120" w:before="200"/>
      </w:pPr>
      <w:r>
        <w:rPr>
          <w:rFonts w:ascii="Georgia" w:cs="Georgia" w:eastAsia="Georgia" w:hAnsi="Georgia"/>
          <w:b/>
          <w:bCs/>
          <w:color w:val="2C5AA0"/>
          <w:sz w:val="28"/>
          <w:szCs w:val="28"/>
        </w:rPr>
        <w:t xml:space="preserve">Uitwerking 4</w:t>
      </w:r>
    </w:p>
    <w:p>
      <w:pPr>
        <w:spacing w:after="140" w:line="300"/>
      </w:pPr>
      <w:r>
        <w:rPr>
          <w:rFonts w:ascii="Calibri" w:cs="Calibri" w:eastAsia="Calibri" w:hAnsi="Calibri"/>
          <w:b w:val="false"/>
          <w:bCs w:val="false"/>
          <w:i w:val="false"/>
          <w:iCs w:val="false"/>
          <w:sz w:val="22"/>
          <w:szCs w:val="22"/>
        </w:rPr>
        <w:t xml:space="preserve">Geen vaste uitwerking. Een plausibel voorbeeld: een team dat een gedeelde authenticatie- of berichtenvoorziening voor het hele Meridiaan-landschap beheert, zodat KERN, het Mutatieplatform en Wegwijzer niet elk zelf hoeven uit te zoeken hoe gebruikers worden geverifieerd of hoe berichten worden verstuurd — de andere teams leunen op die voorziening zonder er zelf verstand van te hoeven hebben.</w:t>
      </w:r>
    </w:p>
    <w:p>
      <w:pPr>
        <w:pStyle w:val="Heading2"/>
        <w:spacing w:after="120" w:before="200"/>
      </w:pPr>
      <w:r>
        <w:rPr>
          <w:rFonts w:ascii="Georgia" w:cs="Georgia" w:eastAsia="Georgia" w:hAnsi="Georgia"/>
          <w:b/>
          <w:bCs/>
          <w:color w:val="2C5AA0"/>
          <w:sz w:val="28"/>
          <w:szCs w:val="28"/>
        </w:rPr>
        <w:t xml:space="preserve">Uitwerking 5</w:t>
      </w:r>
    </w:p>
    <w:p>
      <w:pPr>
        <w:spacing w:after="140" w:line="300"/>
      </w:pPr>
      <w:r>
        <w:rPr>
          <w:rFonts w:ascii="Calibri" w:cs="Calibri" w:eastAsia="Calibri" w:hAnsi="Calibri"/>
          <w:b w:val="false"/>
          <w:bCs w:val="false"/>
          <w:i w:val="false"/>
          <w:iCs w:val="false"/>
          <w:sz w:val="22"/>
          <w:szCs w:val="22"/>
        </w:rPr>
        <w:t xml:space="preserve">Werkgeversportaal ↔ Mutatieplatform (partnership): intensief en tijdelijk — beide teams zijn wederzijds afhankelijk en moeten samen iets nieuws uitvinden. KERN ↔ Mutatieplatform (shared kernel): intensief en tijdelijk, maar in dit geval structureel in plaats van tijdelijk — een gedeeld model vraagt doorlopende, nauwe afstemming, niet een fase die eindigt. Wegwijzer ↔ KERN (conformist): geen van de drie manieren wordt actief toegepast — dat is precies het punt: conformist ontstaat vaak juist bij afwezigheid van bewuste samenwerking. Mutatieplatform ↔ Wegwijzer (open host service): als dienst — het Mutatieplatform biedt een stabiel aanbod, Wegwijzer vertrouwt erop zonder in te grijpen in hoe het tot stand komt.</w:t>
      </w:r>
    </w:p>
    <w:p>
      <w:pPr>
        <w:pStyle w:val="Heading2"/>
        <w:spacing w:after="120" w:before="200"/>
      </w:pPr>
      <w:r>
        <w:rPr>
          <w:rFonts w:ascii="Georgia" w:cs="Georgia" w:eastAsia="Georgia" w:hAnsi="Georgia"/>
          <w:b/>
          <w:bCs/>
          <w:color w:val="2C5AA0"/>
          <w:sz w:val="28"/>
          <w:szCs w:val="28"/>
        </w:rPr>
        <w:t xml:space="preserve">Uitwerking 6</w:t>
      </w:r>
    </w:p>
    <w:p>
      <w:pPr>
        <w:spacing w:after="140" w:line="300"/>
      </w:pPr>
      <w:r>
        <w:rPr>
          <w:rFonts w:ascii="Calibri" w:cs="Calibri" w:eastAsia="Calibri" w:hAnsi="Calibri"/>
          <w:b w:val="false"/>
          <w:bCs w:val="false"/>
          <w:i w:val="false"/>
          <w:iCs w:val="false"/>
          <w:sz w:val="22"/>
          <w:szCs w:val="22"/>
        </w:rPr>
        <w:t xml:space="preserve">Geen vaste uitwerking. Verwacht stap 1: Wegwijzer ↔ KERN, patroon conformist. Stap 2: Wegwijzer's team is klein en relatief nieuw bij Meridiaan, KERN's team is groot en al veertien jaar aanwezig; contact verloopt eenzijdig — Wegwijzer neemt over wat KERN aanlevert, zonder een gestructureerd overleg waarin Wegwijzer eigen eisen kan inbrengen.</w:t>
      </w:r>
    </w:p>
    <w:p>
      <w:pPr>
        <w:pStyle w:val="Heading2"/>
        <w:spacing w:after="120" w:before="200"/>
      </w:pPr>
      <w:r>
        <w:rPr>
          <w:rFonts w:ascii="Georgia" w:cs="Georgia" w:eastAsia="Georgia" w:hAnsi="Georgia"/>
          <w:b/>
          <w:bCs/>
          <w:color w:val="2C5AA0"/>
          <w:sz w:val="28"/>
          <w:szCs w:val="28"/>
        </w:rPr>
        <w:t xml:space="preserve">Uitwerking 7</w:t>
      </w:r>
    </w:p>
    <w:p>
      <w:pPr>
        <w:spacing w:after="140" w:line="300"/>
      </w:pPr>
      <w:r>
        <w:rPr>
          <w:rFonts w:ascii="Calibri" w:cs="Calibri" w:eastAsia="Calibri" w:hAnsi="Calibri"/>
          <w:b w:val="false"/>
          <w:bCs w:val="false"/>
          <w:i w:val="false"/>
          <w:iCs w:val="false"/>
          <w:sz w:val="22"/>
          <w:szCs w:val="22"/>
        </w:rPr>
        <w:t xml:space="preserve">Geen vaste uitwerking. Verwacht: de conformist-relatie past niet goed bij wat het domein zou vragen — Wegwijzer heeft een andere leesvraag dan KERN's interne model biedt (zoals ook in deel 19 bij CQRS naar voren kwam) — maar is ontstaan omdat Wegwijzer's team te klein en te nieuw is om te onderhandelen over een eigen vertaling, niet omdat conformist bewust de beste keuze is.</w:t>
      </w:r>
    </w:p>
    <w:p>
      <w:pPr>
        <w:pStyle w:val="Heading2"/>
        <w:spacing w:after="120" w:before="200"/>
      </w:pPr>
      <w:r>
        <w:rPr>
          <w:rFonts w:ascii="Georgia" w:cs="Georgia" w:eastAsia="Georgia" w:hAnsi="Georgia"/>
          <w:b/>
          <w:bCs/>
          <w:color w:val="2C5AA0"/>
          <w:sz w:val="28"/>
          <w:szCs w:val="28"/>
        </w:rPr>
        <w:t xml:space="preserve">Uitwerking 8</w:t>
      </w:r>
    </w:p>
    <w:p>
      <w:pPr>
        <w:spacing w:after="140" w:line="300"/>
      </w:pPr>
      <w:r>
        <w:rPr>
          <w:rFonts w:ascii="Calibri" w:cs="Calibri" w:eastAsia="Calibri" w:hAnsi="Calibri"/>
          <w:b w:val="false"/>
          <w:bCs w:val="false"/>
          <w:i w:val="false"/>
          <w:iCs w:val="false"/>
          <w:sz w:val="22"/>
          <w:szCs w:val="22"/>
        </w:rPr>
        <w:t xml:space="preserve">Geen vaste uitwerking. Een plausibel voorstel: een tijdelijke, ondersteunende samenwerking waarin iemand van KERN's team Wegwijzer helpt een eigen vertaling van KERN's begrippen op te zetten (zoals Priya in §20.8 voorstelt), zodat conformist een bewuste keuze wordt in plaats van een gewoonte — met de beslisser Iris Tanghe, die de capaciteit van beide teams moet vrijmaken.</w:t>
      </w:r>
    </w:p>
    <w:p>
      <w:pPr>
        <w:pStyle w:val="Heading2"/>
        <w:spacing w:after="120" w:before="200"/>
      </w:pPr>
      <w:r>
        <w:rPr>
          <w:rFonts w:ascii="Georgia" w:cs="Georgia" w:eastAsia="Georgia" w:hAnsi="Georgia"/>
          <w:b/>
          <w:bCs/>
          <w:color w:val="2C5AA0"/>
          <w:sz w:val="28"/>
          <w:szCs w:val="28"/>
        </w:rPr>
        <w:t xml:space="preserve">Uitwerking 9</w:t>
      </w:r>
    </w:p>
    <w:p>
      <w:pPr>
        <w:spacing w:after="140" w:line="300"/>
      </w:pPr>
      <w:r>
        <w:rPr>
          <w:rFonts w:ascii="Calibri" w:cs="Calibri" w:eastAsia="Calibri" w:hAnsi="Calibri"/>
          <w:b w:val="false"/>
          <w:bCs w:val="false"/>
          <w:i w:val="false"/>
          <w:iCs w:val="false"/>
          <w:sz w:val="22"/>
          <w:szCs w:val="22"/>
        </w:rPr>
        <w:t xml:space="preserve">Geen vaste uitwerking. Verwacht: als niemand ingrijpt, blijft Wegwijzer volledig afhankelijk van hoe KERN zijn model intern structureert; zodra KERN een interne wijziging doorvoert (bijvoorbeeld in het kader van de CQRS-sanering uit deel 19), breekt dat zonder waarschuwing door in Wegwijzer, omdat er geen vertaallaag is die de twee van elkaar afschermt — de grens verschuift dan niet bewust, maar wordt eenzijdig door KERN's interne wijzigingen bepaald.</w:t>
      </w:r>
    </w:p>
    <w:p>
      <w:pPr>
        <w:pStyle w:val="Heading2"/>
        <w:spacing w:after="120" w:before="200"/>
      </w:pPr>
      <w:r>
        <w:rPr>
          <w:rFonts w:ascii="Georgia" w:cs="Georgia" w:eastAsia="Georgia" w:hAnsi="Georgia"/>
          <w:b/>
          <w:bCs/>
          <w:color w:val="2C5AA0"/>
          <w:sz w:val="28"/>
          <w:szCs w:val="28"/>
        </w:rPr>
        <w:t xml:space="preserve">Uitwerking 10</w:t>
      </w:r>
    </w:p>
    <w:p>
      <w:pPr>
        <w:spacing w:after="140" w:line="300"/>
      </w:pPr>
      <w:r>
        <w:rPr>
          <w:rFonts w:ascii="Calibri" w:cs="Calibri" w:eastAsia="Calibri" w:hAnsi="Calibri"/>
          <w:b w:val="false"/>
          <w:bCs w:val="false"/>
          <w:i w:val="false"/>
          <w:iCs w:val="false"/>
          <w:sz w:val="22"/>
          <w:szCs w:val="22"/>
        </w:rPr>
        <w:t xml:space="preserve">Een modelleursteam heeft het mandaat om een model te ontwerpen, niet om mensen te verplaatsen, budgetten te herverdelen of rapportagelijnen te wijzigen — dat raakt bevoegdheden (personeel, geld, verantwoording) die bij lijnmanagement horen. Als een modelleursteam zichzelf dat mandaat toe-eigent, ontstaat het risico dat een technisch onderbouwd voorstel wordt uitgevoerd zonder de organisatorische afweging (kosten, risico van het doorbreken van iets dat al werkt, andere prioriteiten) die alleen een beslisser met dat overzicht kan maken — precies het risico dat Iris in §20.6 benoemt.</w:t>
      </w:r>
    </w:p>
    <w:p>
      <w:pPr>
        <w:pStyle w:val="Heading2"/>
        <w:spacing w:after="120" w:before="200"/>
      </w:pPr>
      <w:r>
        <w:rPr>
          <w:rFonts w:ascii="Georgia" w:cs="Georgia" w:eastAsia="Georgia" w:hAnsi="Georgia"/>
          <w:b/>
          <w:bCs/>
          <w:color w:val="2C5AA0"/>
          <w:sz w:val="28"/>
          <w:szCs w:val="28"/>
        </w:rPr>
        <w:t xml:space="preserve">Uitwerking 11</w:t>
      </w:r>
    </w:p>
    <w:p>
      <w:pPr>
        <w:spacing w:after="140" w:line="300"/>
      </w:pPr>
      <w:r>
        <w:rPr>
          <w:rFonts w:ascii="Calibri" w:cs="Calibri" w:eastAsia="Calibri" w:hAnsi="Calibri"/>
          <w:b w:val="false"/>
          <w:bCs w:val="false"/>
          <w:i w:val="false"/>
          <w:iCs w:val="false"/>
          <w:sz w:val="22"/>
          <w:szCs w:val="22"/>
        </w:rPr>
        <w:t xml:space="preserve">Geen vaste uitwerking. Verwacht bijvoorbeeld voor KERN-Mutatieplatform: stap 1 shared kernel; stap 2 KERN's team groot en druk bezet, Mutatieplatform-team nieuw en klein, contact ad hoc in plaats van gestructureerd; stap 3 een shared kernel vraagt de intensiefste samenwerkingsmanier, die er nu niet gestructureerd is; stap 4 een klein, vast koppel van mensen uit beide teams expliciet vrijgemaakt voor het gedeelde model, besluit bij Iris; afsluitend veld — zonder ingrijpen verschuift de shared kernel naar een situatie waarin KERN eenzijdig bepaalt wat "deelnemer" en "dienstverband" betekenen, omdat KERN's team meer capaciteit heeft om zijn interpretatie door te zetten, en het Mutatieplatform-team volgt bij gebrek aan tijd om tegen te spreken.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2026-08-16T19:18:53.533Z</dcterms:created>
  <dcterms:modified xsi:type="dcterms:W3CDTF">2026-08-16T19:18:53.533Z</dcterms:modified>
</cp:coreProperties>
</file>

<file path=docProps/custom.xml><?xml version="1.0" encoding="utf-8"?>
<Properties xmlns="http://schemas.openxmlformats.org/officeDocument/2006/custom-properties" xmlns:vt="http://schemas.openxmlformats.org/officeDocument/2006/docPropsVTypes"/>
</file>