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21 — Domain events als integratiemiddel tussen contexts</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2 · deel 21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Deel 21 bouwt rechtstreeks voort op drie eerdere delen tegelijk: de context-mappingpatronen uit deel 13-14 (met name shared kernel en partnership), de example-mapping-afspraken over de deeltijdwijziging uit deel 17, en de teamgrenskaart uit deel 20, die blootlegde dat twee relaties — KERN-Mutatieplatform en Werkgeversportaal-Mutatieplatform — meer synchrone afstemming vragen dan de teams erachter structureel kunnen opbrengen. Dit deel levert geen organisatorisch antwoord (dat deed deel 20 al, gedeeltelijk), maar een modelleerkundig antwoord: het domain event als middel om een deel van die afstemmingslast weg te nemen zonder de onderliggende context-mappingrelatie op te geven.</w:t>
      </w:r>
    </w:p>
    <w:p>
      <w:pPr>
        <w:spacing w:after="140" w:line="300"/>
      </w:pPr>
      <w:r>
        <w:rPr>
          <w:rFonts w:ascii="Calibri" w:cs="Calibri" w:eastAsia="Calibri" w:hAnsi="Calibri"/>
          <w:b w:val="false"/>
          <w:bCs w:val="false"/>
          <w:i w:val="false"/>
          <w:iCs w:val="false"/>
          <w:sz w:val="22"/>
          <w:szCs w:val="22"/>
        </w:rPr>
        <w:t xml:space="preserve">Behandel dit deel niet als vervanging van deel 13-14 en niet als correctie op deel 20. Het is een aanvulling: waar deel 20 vaststelde wat de teams wel en niet kunnen dragen, laat dit deel zien dat de relatie zelf soms lichter kan worden gemaakt, zodat er minder te dragen valt. Bewaak dat deelnemers dit onderscheid niet verwarren — een veelgemaakte fout is denken dat een integratie-event de context-mappingrelatie vervangt in plaats van er een deel van over te nemen (zie §4).</w:t>
      </w:r>
    </w:p>
    <w:p>
      <w:pPr>
        <w:pStyle w:val="ListParagraph"/>
        <w:numPr>
          <w:ilvl w:val="0"/>
          <w:numId w:val="1"/>
        </w:numPr>
        <w:spacing w:after="80"/>
      </w:pPr>
      <w:r>
        <w:rPr>
          <w:rFonts w:ascii="Calibri" w:cs="Calibri" w:eastAsia="Calibri" w:hAnsi="Calibri"/>
          <w:sz w:val="22"/>
          <w:szCs w:val="22"/>
        </w:rPr>
        <w:t xml:space="preserve">**Module-onderdeel:** het curriculum van de officiële iSAQB-module noemt domain event expliciet als tactische bouwstenen; dit deel trekt dat begrip, dat in niveau 1 (deel 7) al is behandeld, bewust open naar de strategische toepassing over contextgrenzen heen — een cursus-eigen uitwerking die aansluit bij het curriculumonderdeel "de relatie tussen model en code" en bij de context-mappingpatronen.</w:t>
      </w:r>
    </w:p>
    <w:p>
      <w:pPr>
        <w:pStyle w:val="ListParagraph"/>
        <w:numPr>
          <w:ilvl w:val="0"/>
          <w:numId w:val="1"/>
        </w:numPr>
        <w:spacing w:after="80"/>
      </w:pPr>
      <w:r>
        <w:rPr>
          <w:rFonts w:ascii="Calibri" w:cs="Calibri" w:eastAsia="Calibri" w:hAnsi="Calibri"/>
          <w:sz w:val="22"/>
          <w:szCs w:val="22"/>
        </w:rPr>
        <w:t xml:space="preserve">**Werkvorm:** het integratieblad.</w:t>
      </w:r>
    </w:p>
    <w:p>
      <w:pPr>
        <w:pStyle w:val="ListParagraph"/>
        <w:numPr>
          <w:ilvl w:val="0"/>
          <w:numId w:val="1"/>
        </w:numPr>
        <w:spacing w:after="80"/>
      </w:pPr>
      <w:r>
        <w:rPr>
          <w:rFonts w:ascii="Calibri" w:cs="Calibri" w:eastAsia="Calibri" w:hAnsi="Calibri"/>
          <w:sz w:val="22"/>
          <w:szCs w:val="22"/>
        </w:rPr>
        <w:t xml:space="preserve">**Duur:** één dagdeel (circa 3,5 uur, met een pauze).</w:t>
      </w:r>
    </w:p>
    <w:p>
      <w:pPr>
        <w:pStyle w:val="ListParagraph"/>
        <w:numPr>
          <w:ilvl w:val="0"/>
          <w:numId w:val="1"/>
        </w:numPr>
        <w:spacing w:after="80"/>
      </w:pPr>
      <w:r>
        <w:rPr>
          <w:rFonts w:ascii="Calibri" w:cs="Calibri" w:eastAsia="Calibri" w:hAnsi="Calibri"/>
          <w:sz w:val="22"/>
          <w:szCs w:val="22"/>
        </w:rPr>
        <w:t xml:space="preserve">**Voorbereiding deelnemers:** deel 13, 14, 17 en 20 afgerond — deel 21 veronderstelt bekendheid met de context map, de example-mapping-afspraken over de deeltijdwijziging, en de uitkomsten van de teamgrenskaart.</w:t>
      </w:r>
    </w:p>
    <w:p>
      <w:pPr>
        <w:pStyle w:val="ListParagraph"/>
        <w:numPr>
          <w:ilvl w:val="0"/>
          <w:numId w:val="1"/>
        </w:numPr>
        <w:spacing w:after="80"/>
      </w:pPr>
      <w:r>
        <w:rPr>
          <w:rFonts w:ascii="Calibri" w:cs="Calibri" w:eastAsia="Calibri" w:hAnsi="Calibri"/>
          <w:sz w:val="22"/>
          <w:szCs w:val="22"/>
        </w:rPr>
        <w:t xml:space="preserve">**Materiaal vooraf regelen:** het invulblad van het integratieblad (dossierstuk 21-B) per groepje, de context map uit deel 13-14 zichtbaar (whiteboard of print), de teamgrenskaart-uitkomsten uit deel 20 bij de hand.</w:t>
      </w:r>
    </w:p>
    <w:p>
      <w:pPr>
        <w:pStyle w:val="Heading2"/>
        <w:spacing w:after="120" w:before="200"/>
      </w:pPr>
      <w:r>
        <w:rPr>
          <w:rFonts w:ascii="Georgia" w:cs="Georgia" w:eastAsia="Georgia" w:hAnsi="Georgia"/>
          <w:b/>
          <w:bCs/>
          <w:color w:val="2C5AA0"/>
          <w:sz w:val="28"/>
          <w:szCs w:val="28"/>
        </w:rPr>
        <w:t xml:space="preserve">2. Tijdschema (3,5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Opening: Iris' gedeeltelijke antwoord (§21.2)</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Intern domain event versus integratie-event (§21.3) + opdracht 1, 2</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0:35-0:50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 en 4 — onderscheid shared kernel/integratie-event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0:50-1:05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Eerste toepassing: KERN-Mutatieplatform (§21.4)</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1:25-1:50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integratieblad geïntroduceerd (§21.7) + opdracht 5, 6, 7, 8</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1:50-2:15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Tweede toepassing: Werkgeversportaal-Mutatieplatform (§21.5) + opdracht 9</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2:15-2:30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Wat buiten dit deel blijft (§21.6) — kort, niet uitweiden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2:30-2:50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10 — wanneer een integratie-event de verkeerde keuze 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2:50-3:15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11 — een derde relatie zelf uitwerken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3:15-3:30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 naar de casus (§21.8), vooruitblik deel 22</w:t>
            </w:r>
          </w:p>
        </w:tc>
      </w:tr>
    </w:tbl>
    <w:p>
      <w:pPr>
        <w:spacing w:after="140" w:line="300"/>
      </w:pPr>
      <w:r>
        <w:rPr>
          <w:rFonts w:ascii="Calibri" w:cs="Calibri" w:eastAsia="Calibri" w:hAnsi="Calibri"/>
          <w:b w:val="false"/>
          <w:bCs w:val="false"/>
          <w:i w:val="false"/>
          <w:iCs w:val="false"/>
          <w:sz w:val="22"/>
          <w:szCs w:val="22"/>
        </w:rPr>
        <w:t xml:space="preserve">Loop je uit vóór de pauze, dan is opdracht 3 de kandidaat om te verkorten tot één gezamenlijk voorbeeld in plaats van twee per tweetal — de kern komt sowieso terug in opdracht 4. Schrap nooit opdracht 5 t/m 9: dit is de opbouw waarin het integratieblad voor het eerst stap voor stap wordt ingevuld op de twee casusrelaties, en die opbouw draagt de rest van het deel. Opdracht 11 kan, als de tijd te krap is, als vervolgopdracht na afloop worden meegegeven.</w:t>
      </w:r>
    </w:p>
    <w:p>
      <w:pPr>
        <w:pStyle w:val="Heading2"/>
        <w:spacing w:after="120" w:before="200"/>
      </w:pPr>
      <w:r>
        <w:rPr>
          <w:rFonts w:ascii="Georgia" w:cs="Georgia" w:eastAsia="Georgia" w:hAnsi="Georgia"/>
          <w:b/>
          <w:bCs/>
          <w:color w:val="2C5AA0"/>
          <w:sz w:val="28"/>
          <w:szCs w:val="28"/>
        </w:rPr>
        <w:t xml:space="preserve">3. Didactische aanwijzingen</w:t>
      </w:r>
    </w:p>
    <w:p>
      <w:pPr>
        <w:spacing w:after="140" w:line="300"/>
      </w:pPr>
      <w:r>
        <w:rPr>
          <w:rFonts w:ascii="Calibri" w:cs="Calibri" w:eastAsia="Calibri" w:hAnsi="Calibri"/>
          <w:b/>
          <w:bCs/>
          <w:i w:val="false"/>
          <w:iCs w:val="false"/>
          <w:sz w:val="22"/>
          <w:szCs w:val="22"/>
        </w:rPr>
        <w:t xml:space="preserve">Opening (§21.2).</w:t>
      </w:r>
      <w:r>
        <w:rPr>
          <w:rFonts w:ascii="Calibri" w:cs="Calibri" w:eastAsia="Calibri" w:hAnsi="Calibri"/>
          <w:b w:val="false"/>
          <w:bCs w:val="false"/>
          <w:i w:val="false"/>
          <w:iCs w:val="false"/>
          <w:sz w:val="22"/>
          <w:szCs w:val="22"/>
        </w:rPr>
        <w:t xml:space="preserve"> Laat Iris' gedeeltelijke antwoord ("het koppel krijgen jullie, maar niet de omvang die je vroeg") goed doorklinken voordat je naar de theorie overstapt — het frame van dit deel is niet "hier is een nieuw technisch patroon" maar "hier is een antwoord op een probleem dat deel 20 openliet". Deelnemers die de spanning uit deel 20 nog vers hebben, herkennen de vervolgvraag sneller.</w:t>
      </w:r>
    </w:p>
    <w:p>
      <w:pPr>
        <w:spacing w:after="140" w:line="300"/>
      </w:pPr>
      <w:r>
        <w:rPr>
          <w:rFonts w:ascii="Calibri" w:cs="Calibri" w:eastAsia="Calibri" w:hAnsi="Calibri"/>
          <w:b/>
          <w:bCs/>
          <w:i w:val="false"/>
          <w:iCs w:val="false"/>
          <w:sz w:val="22"/>
          <w:szCs w:val="22"/>
        </w:rPr>
        <w:t xml:space="preserve">Het onderscheid intern/integratie-event (§21.3).</w:t>
      </w:r>
      <w:r>
        <w:rPr>
          <w:rFonts w:ascii="Calibri" w:cs="Calibri" w:eastAsia="Calibri" w:hAnsi="Calibri"/>
          <w:b w:val="false"/>
          <w:bCs w:val="false"/>
          <w:i w:val="false"/>
          <w:iCs w:val="false"/>
          <w:sz w:val="22"/>
          <w:szCs w:val="22"/>
        </w:rPr>
        <w:t xml:space="preserve"> Dit is het conceptuele scharnierpunt van het hele deel. Bewaak dat deelnemers niet denken dat een integratie-event een nieuw begrip is naast entity, aggregate en de andere tactische bouwstenen — het is een domain event (bekend uit deel 7), met een extra ontwerpeis omdat het een grens oversteekt. Gebruik zo nodig een korte herhaling van de definitie uit deel 7 voordat je doorgaat.</w:t>
      </w:r>
    </w:p>
    <w:p>
      <w:pPr>
        <w:spacing w:after="140" w:line="300"/>
      </w:pPr>
      <w:r>
        <w:rPr>
          <w:rFonts w:ascii="Calibri" w:cs="Calibri" w:eastAsia="Calibri" w:hAnsi="Calibri"/>
          <w:b/>
          <w:bCs/>
          <w:i w:val="false"/>
          <w:iCs w:val="false"/>
          <w:sz w:val="22"/>
          <w:szCs w:val="22"/>
        </w:rPr>
        <w:t xml:space="preserve">Opdracht 3 en 4 — het onderscheid met shared kernel.</w:t>
      </w:r>
      <w:r>
        <w:rPr>
          <w:rFonts w:ascii="Calibri" w:cs="Calibri" w:eastAsia="Calibri" w:hAnsi="Calibri"/>
          <w:b w:val="false"/>
          <w:bCs w:val="false"/>
          <w:i w:val="false"/>
          <w:iCs w:val="false"/>
          <w:sz w:val="22"/>
          <w:szCs w:val="22"/>
        </w:rPr>
        <w:t xml:space="preserve"> De grootste denkfout die hier ontstaat, is dat deelnemers een integratie-event zien als "lichtere versie van shared kernel" in plaats van "ander soort probleem, ander soort oplossing". Vraag door met Otto's eigen formulering uit §21.3 ("ik vertel je wat ik heb gedaan, jij beslist zelf wat je daarmee doet" versus "we bouwen dit stukje samen, voor altijd") als test: welke van de twee zinnen past bij het voorbeeld dat de deelnemers bedenken?</w:t>
      </w:r>
    </w:p>
    <w:p>
      <w:pPr>
        <w:spacing w:after="140" w:line="300"/>
      </w:pPr>
      <w:r>
        <w:rPr>
          <w:rFonts w:ascii="Calibri" w:cs="Calibri" w:eastAsia="Calibri" w:hAnsi="Calibri"/>
          <w:b/>
          <w:bCs/>
          <w:i w:val="false"/>
          <w:iCs w:val="false"/>
          <w:sz w:val="22"/>
          <w:szCs w:val="22"/>
        </w:rPr>
        <w:t xml:space="preserve">Eerste toepassing (§21.4).</w:t>
      </w:r>
      <w:r>
        <w:rPr>
          <w:rFonts w:ascii="Calibri" w:cs="Calibri" w:eastAsia="Calibri" w:hAnsi="Calibri"/>
          <w:b w:val="false"/>
          <w:bCs w:val="false"/>
          <w:i w:val="false"/>
          <w:iCs w:val="false"/>
          <w:sz w:val="22"/>
          <w:szCs w:val="22"/>
        </w:rPr>
        <w:t xml:space="preserve"> Loop hier bewust langzaam: dit is de eerste keer dat de groep de knip maakt tussen "gedeelde betekenis" (blijft shared kernel) en "doorgegeven feit" (wordt event). Laat de groep die knip zelf benoemen voordat je Vera's antwoord uit de reader voorlegt — de leerwinst zit in het zelf trekken van die grens, niet in het herkennen van het antwoord.</w:t>
      </w:r>
    </w:p>
    <w:p>
      <w:pPr>
        <w:spacing w:after="140" w:line="300"/>
      </w:pPr>
      <w:r>
        <w:rPr>
          <w:rFonts w:ascii="Calibri" w:cs="Calibri" w:eastAsia="Calibri" w:hAnsi="Calibri"/>
          <w:b/>
          <w:bCs/>
          <w:i w:val="false"/>
          <w:iCs w:val="false"/>
          <w:sz w:val="22"/>
          <w:szCs w:val="22"/>
        </w:rPr>
        <w:t xml:space="preserve">Het integratieblad (§21.7).</w:t>
      </w:r>
      <w:r>
        <w:rPr>
          <w:rFonts w:ascii="Calibri" w:cs="Calibri" w:eastAsia="Calibri" w:hAnsi="Calibri"/>
          <w:b w:val="false"/>
          <w:bCs w:val="false"/>
          <w:i w:val="false"/>
          <w:iCs w:val="false"/>
          <w:sz w:val="22"/>
          <w:szCs w:val="22"/>
        </w:rPr>
        <w:t xml:space="preserve"> Net als bij eerdere Ductus-werkvormen is veld 3 ("wat hoeft de afnemer niet te weten") het veld waar groepen het snelst te vaag blijven. Vraag altijd om minstens twee concrete voorbeelden van interne details die de afnemer niet hoeft te kennen — een groep die hier niets concreets kan noemen, heeft waarschijnlijk zelf nog niet scherp wat het interne model van de bron precies bevat.</w:t>
      </w:r>
    </w:p>
    <w:p>
      <w:pPr>
        <w:spacing w:after="140" w:line="300"/>
      </w:pPr>
      <w:r>
        <w:rPr>
          <w:rFonts w:ascii="Calibri" w:cs="Calibri" w:eastAsia="Calibri" w:hAnsi="Calibri"/>
          <w:b/>
          <w:bCs/>
          <w:i w:val="false"/>
          <w:iCs w:val="false"/>
          <w:sz w:val="22"/>
          <w:szCs w:val="22"/>
        </w:rPr>
        <w:t xml:space="preserve">Tweede toepassing (§21.5) en opdracht 9.</w:t>
      </w:r>
      <w:r>
        <w:rPr>
          <w:rFonts w:ascii="Calibri" w:cs="Calibri" w:eastAsia="Calibri" w:hAnsi="Calibri"/>
          <w:b w:val="false"/>
          <w:bCs w:val="false"/>
          <w:i w:val="false"/>
          <w:iCs w:val="false"/>
          <w:sz w:val="22"/>
          <w:szCs w:val="22"/>
        </w:rPr>
        <w:t xml:space="preserve"> Bewaak hier vooral veld 4: groepen hebben de neiging te concluderen dat het event de hele partnership vervangt. Herhaal Otto's kanttekening uit de reader: het patroon geldt alleen voor reeds afgebakende mutatietypen, niet voor nieuwe. Een groep die veld 4 invult met "de partnership is niet meer nodig" moet worden teruggestuurd naar §21.5.</w:t>
      </w:r>
    </w:p>
    <w:p>
      <w:pPr>
        <w:spacing w:after="140" w:line="300"/>
      </w:pPr>
      <w:r>
        <w:rPr>
          <w:rFonts w:ascii="Calibri" w:cs="Calibri" w:eastAsia="Calibri" w:hAnsi="Calibri"/>
          <w:b/>
          <w:bCs/>
          <w:i w:val="false"/>
          <w:iCs w:val="false"/>
          <w:sz w:val="22"/>
          <w:szCs w:val="22"/>
        </w:rPr>
        <w:t xml:space="preserve">Opdracht 10 — wanneer een integratie-event niet past.</w:t>
      </w:r>
      <w:r>
        <w:rPr>
          <w:rFonts w:ascii="Calibri" w:cs="Calibri" w:eastAsia="Calibri" w:hAnsi="Calibri"/>
          <w:b w:val="false"/>
          <w:bCs w:val="false"/>
          <w:i w:val="false"/>
          <w:iCs w:val="false"/>
          <w:sz w:val="22"/>
          <w:szCs w:val="22"/>
        </w:rPr>
        <w:t xml:space="preserve"> Dit is de opdracht waar je het scherpst kunt zien of deelnemers het onderscheid uit §21.3 echt hebben begrepen, of alleen het recept "domain event" hebben geleerd toe te passen. Een goed antwoord onderscheidt expliciet welk deel van de relatie een doorgegeven feit is (event-geschikt) en welk deel een onderhandeling of gedeelde betekenis blijft (niet event-geschikt).</w:t>
      </w:r>
    </w:p>
    <w:p>
      <w:pPr>
        <w:spacing w:after="140" w:line="300"/>
      </w:pPr>
      <w:r>
        <w:rPr>
          <w:rFonts w:ascii="Calibri" w:cs="Calibri" w:eastAsia="Calibri" w:hAnsi="Calibri"/>
          <w:b/>
          <w:bCs/>
          <w:i w:val="false"/>
          <w:iCs w:val="false"/>
          <w:sz w:val="22"/>
          <w:szCs w:val="22"/>
        </w:rPr>
        <w:t xml:space="preserve">§21.6 — wat buiten dit deel blijft.</w:t>
      </w:r>
      <w:r>
        <w:rPr>
          <w:rFonts w:ascii="Calibri" w:cs="Calibri" w:eastAsia="Calibri" w:hAnsi="Calibri"/>
          <w:b w:val="false"/>
          <w:bCs w:val="false"/>
          <w:i w:val="false"/>
          <w:iCs w:val="false"/>
          <w:sz w:val="22"/>
          <w:szCs w:val="22"/>
        </w:rPr>
        <w:t xml:space="preserve"> Behandel dit kort en stuur actief bij als de groep wil doorpraten over technische implementatie (berichtenwachtrijen, idempotentie, eventual consistency). Verwijs naar niveau 3, deel 25, en naar de Toolbijlage voor het Locked Platform-voorbeeld, en ga terug naar het ontwerp van het event zelf.</w:t>
      </w:r>
    </w:p>
    <w:p>
      <w:pPr>
        <w:pStyle w:val="Heading2"/>
        <w:spacing w:after="120" w:before="200"/>
      </w:pPr>
      <w:r>
        <w:rPr>
          <w:rFonts w:ascii="Georgia" w:cs="Georgia" w:eastAsia="Georgia" w:hAnsi="Georgia"/>
          <w:b/>
          <w:bCs/>
          <w:color w:val="2C5AA0"/>
          <w:sz w:val="28"/>
          <w:szCs w:val="28"/>
        </w:rPr>
        <w:t xml:space="preserve">4. Veelgemaakte fouten en hoe je erop reageert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integratie-event wordt gezien als vervanging van shared kernel of partnership</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onderscheid tussen "gedeelde betekenis" en "doorgegeven feit" is niet scherp</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Verwijs naar Vera's en Otto's onderscheid in §21.3-21.4; vraag: "is dit iets waar beide teams het blijvend over eens moeten zijn, of iets waarvan de een de ander alleen informeert?"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Veld 2 van het integratieblad bevat rechtstreeks de interne velden van de bron-context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vertaalslag die een integratie-event vereist, is overgeslagen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Verwijs naar opdracht 2 en de anti-corruption layer-vergelijking; vraag: "zou de afnemer dit veld nog begrijpen zonder het interne model van de bron te kennen?"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Veld 3 blijft vaag ("de afnemer hoeft niet alles te weten")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Geen concrete toetsing van wat er werkelijk verborgen blijft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om minstens twee concrete voorbeelden van interne details die de afnemer niet hoeft te kennen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Veld 4 concludeert dat de onderliggende relatie (shared kernel/partnership) overbodig wordt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groep denkt in "vervangen" in plaats van "een deel overnemen"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Herhaal Vera's antwoord aan Iris in §21.4 ("het koppel gaat het juiste werk doen, niet minder werk")</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afsluitende veld wordt ingevuld zonder concreet te benoemen wat er breekt bij de afnemer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veld wordt als formaliteit ingevuld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"noem het concrete stuk logica bij de afnemer dat stopt te werken, en waarom de afnemer dat niet had kunnen voorkomen"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discussie verzandt in techniek (berichtenwachtrijen, retries)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§21.6 wordt niet als grens herkend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Stuur terug naar het ontwerp van het event; benoem expliciet dat de techniek in niveau 3 en de Toolbijlage aan bod komt</w:t>
            </w:r>
          </w:p>
        </w:tc>
      </w:tr>
    </w:tbl>
    <w:p>
      <w:pPr>
        <w:pStyle w:val="Heading2"/>
        <w:spacing w:after="120" w:before="200"/>
      </w:pPr>
      <w:r>
        <w:rPr>
          <w:rFonts w:ascii="Georgia" w:cs="Georgia" w:eastAsia="Georgia" w:hAnsi="Georgia"/>
          <w:b/>
          <w:bCs/>
          <w:color w:val="2C5AA0"/>
          <w:sz w:val="28"/>
          <w:szCs w:val="28"/>
        </w:rPr>
        <w:t xml:space="preserve">5. Beoordeling</w:t>
      </w:r>
    </w:p>
    <w:p>
      <w:pPr>
        <w:spacing w:after="140" w:line="300"/>
      </w:pPr>
      <w:r>
        <w:rPr>
          <w:rFonts w:ascii="Calibri" w:cs="Calibri" w:eastAsia="Calibri" w:hAnsi="Calibri"/>
          <w:b w:val="false"/>
          <w:bCs w:val="false"/>
          <w:i w:val="false"/>
          <w:iCs w:val="false"/>
          <w:sz w:val="22"/>
          <w:szCs w:val="22"/>
        </w:rPr>
        <w:t xml:space="preserve">Deel 21 wordt niet becijferd. Houd bij, per groepje, of veld 2 daadwerkelijk is losgemaakt van het interne model van de bron (niet alleen een kopie van interne velden), of veld 3 minstens twee concrete voorbeelden bevat van wat de afnemer niet hoeft te weten, en of veld 4 het onderscheid tussen "overgenomen" en "vervangen" correct toepast. Noteer per groep: voldoet / voldoet met hulp / voldoet niet.</w:t>
      </w:r>
    </w:p>
    <w:p>
      <w:pPr>
        <w:pStyle w:val="Heading2"/>
        <w:spacing w:after="120" w:before="200"/>
      </w:pPr>
      <w:r>
        <w:rPr>
          <w:rFonts w:ascii="Georgia" w:cs="Georgia" w:eastAsia="Georgia" w:hAnsi="Georgia"/>
          <w:b/>
          <w:bCs/>
          <w:color w:val="2C5AA0"/>
          <w:sz w:val="28"/>
          <w:szCs w:val="28"/>
        </w:rPr>
        <w:t xml:space="preserve">6. Materiaal</w:t>
      </w:r>
    </w:p>
    <w:p>
      <w:pPr>
        <w:pStyle w:val="ListParagraph"/>
        <w:numPr>
          <w:ilvl w:val="0"/>
          <w:numId w:val="1"/>
        </w:numPr>
        <w:spacing w:after="80"/>
      </w:pPr>
      <w:r>
        <w:rPr>
          <w:rFonts w:ascii="Calibri" w:cs="Calibri" w:eastAsia="Calibri" w:hAnsi="Calibri"/>
          <w:sz w:val="22"/>
          <w:szCs w:val="22"/>
        </w:rPr>
        <w:t xml:space="preserve">Casusdossier niveau 2 (§5, de acht relaties)</w:t>
      </w:r>
    </w:p>
    <w:p>
      <w:pPr>
        <w:pStyle w:val="ListParagraph"/>
        <w:numPr>
          <w:ilvl w:val="0"/>
          <w:numId w:val="1"/>
        </w:numPr>
        <w:spacing w:after="80"/>
      </w:pPr>
      <w:r>
        <w:rPr>
          <w:rFonts w:ascii="Calibri" w:cs="Calibri" w:eastAsia="Calibri" w:hAnsi="Calibri"/>
          <w:sz w:val="22"/>
          <w:szCs w:val="22"/>
        </w:rPr>
        <w:t xml:space="preserve">Uitkomsten van deel 13-14 (context map), deel 17 (example-mapping-afspraken over de deeltijdwijziging) en deel 20 (teamgrenskaart-uitkomsten)</w:t>
      </w:r>
    </w:p>
    <w:p>
      <w:pPr>
        <w:pStyle w:val="ListParagraph"/>
        <w:numPr>
          <w:ilvl w:val="0"/>
          <w:numId w:val="1"/>
        </w:numPr>
        <w:spacing w:after="80"/>
      </w:pPr>
      <w:r>
        <w:rPr>
          <w:rFonts w:ascii="Calibri" w:cs="Calibri" w:eastAsia="Calibri" w:hAnsi="Calibri"/>
          <w:sz w:val="22"/>
          <w:szCs w:val="22"/>
        </w:rPr>
        <w:t xml:space="preserve">Werkboek deel 21, inclusief dossierstukken 21-A en 21-B</w:t>
      </w:r>
    </w:p>
    <w:p>
      <w:pPr>
        <w:pStyle w:val="ListParagraph"/>
        <w:numPr>
          <w:ilvl w:val="0"/>
          <w:numId w:val="1"/>
        </w:numPr>
        <w:spacing w:after="80"/>
      </w:pPr>
      <w:r>
        <w:rPr>
          <w:rFonts w:ascii="Calibri" w:cs="Calibri" w:eastAsia="Calibri" w:hAnsi="Calibri"/>
          <w:sz w:val="22"/>
          <w:szCs w:val="22"/>
        </w:rPr>
        <w:t xml:space="preserve">Slidedeck deel 21</w:t>
      </w:r>
    </w:p>
    <w:p>
      <w:pPr>
        <w:pStyle w:val="ListParagraph"/>
        <w:numPr>
          <w:ilvl w:val="0"/>
          <w:numId w:val="1"/>
        </w:numPr>
        <w:spacing w:after="80"/>
      </w:pPr>
      <w:r>
        <w:rPr>
          <w:rFonts w:ascii="Calibri" w:cs="Calibri" w:eastAsia="Calibri" w:hAnsi="Calibri"/>
          <w:sz w:val="22"/>
          <w:szCs w:val="22"/>
        </w:rPr>
        <w:t xml:space="preserve">Whiteboard of digitaal bord met de context map zichtbaar</w:t>
      </w:r>
    </w:p>
    <w:p>
      <w:pPr>
        <w:pStyle w:val="ListParagraph"/>
        <w:numPr>
          <w:ilvl w:val="0"/>
          <w:numId w:val="1"/>
        </w:numPr>
        <w:spacing w:after="80"/>
      </w:pPr>
      <w:r>
        <w:rPr>
          <w:rFonts w:ascii="Calibri" w:cs="Calibri" w:eastAsia="Calibri" w:hAnsi="Calibri"/>
          <w:sz w:val="22"/>
          <w:szCs w:val="22"/>
        </w:rPr>
        <w:t xml:space="preserve">Integratiebladen (blanco), minstens drie per groepje</w:t>
      </w:r>
    </w:p>
    <w:p>
      <w:pPr>
        <w:pStyle w:val="Heading2"/>
        <w:spacing w:after="120" w:before="200"/>
      </w:pPr>
      <w:r>
        <w:rPr>
          <w:rFonts w:ascii="Georgia" w:cs="Georgia" w:eastAsia="Georgia" w:hAnsi="Georgia"/>
          <w:b/>
          <w:bCs/>
          <w:color w:val="2C5AA0"/>
          <w:sz w:val="28"/>
          <w:szCs w:val="28"/>
        </w:rPr>
        <w:t xml:space="preserve">7. Aantekeningen voor de docent over positionering en IP</w:t>
      </w:r>
    </w:p>
    <w:p>
      <w:pPr>
        <w:pStyle w:val="ListParagraph"/>
        <w:numPr>
          <w:ilvl w:val="0"/>
          <w:numId w:val="1"/>
        </w:numPr>
        <w:spacing w:after="80"/>
      </w:pPr>
      <w:r>
        <w:rPr>
          <w:rFonts w:ascii="Calibri" w:cs="Calibri" w:eastAsia="Calibri" w:hAnsi="Calibri"/>
          <w:sz w:val="22"/>
          <w:szCs w:val="22"/>
        </w:rPr>
        <w:t xml:space="preserve">**Domain event als tactische bouwsteen is feitelijk vrij te noemen** (Evans, Vernon) — geen beschermde uitdrukkingsvorm. Het onderscheid "intern domain event" versus "integratie-event" en het integratieblad zelf zijn een eigen Ductus-uitwerking, met een eigen figurenset (21-1 t/m 21-5) en eigen formuleringen — geen letterlijke tabellen of diagrammen van Evans of Vernon nagetekend.</w:t>
      </w:r>
    </w:p>
    <w:p>
      <w:pPr>
        <w:pStyle w:val="ListParagraph"/>
        <w:numPr>
          <w:ilvl w:val="0"/>
          <w:numId w:val="1"/>
        </w:numPr>
        <w:spacing w:after="80"/>
      </w:pPr>
      <w:r>
        <w:rPr>
          <w:rFonts w:ascii="Calibri" w:cs="Calibri" w:eastAsia="Calibri" w:hAnsi="Calibri"/>
          <w:sz w:val="22"/>
          <w:szCs w:val="22"/>
        </w:rPr>
        <w:t xml:space="preserve">**Eén kort, ter-oriëntatie-kader in §21.6 noemt het Locked Platform.** Dit is, naast deel 18 en 19, geen derde toegestane platformverwijzing volgens het opzetdocument (§4) — het opzetdocument wijst twee plekken aan, deel 18 en 19. Behandel dit kader daarom expliciet als een korte terugverwijzing naar het kader dat al in deel 19 stond, niet als een nieuw, zelfstandig platformkader — anders schuift de cursus verder richting platformdiepgang dan het opzetdocument toestaat. Als je dit onderscheid wilt bewaken in een latere revisie: het kader in §21.6 mag blijven zolang het uitdrukkelijk terugverwijst naar deel 18-19 in plaats van nieuwe platform-inhoud te introduceren.</w:t>
      </w:r>
    </w:p>
    <w:p>
      <w:pPr>
        <w:pStyle w:val="ListParagraph"/>
        <w:numPr>
          <w:ilvl w:val="0"/>
          <w:numId w:val="1"/>
        </w:numPr>
        <w:spacing w:after="80"/>
      </w:pPr>
      <w:r>
        <w:rPr>
          <w:rFonts w:ascii="Calibri" w:cs="Calibri" w:eastAsia="Calibri" w:hAnsi="Calibri"/>
          <w:sz w:val="22"/>
          <w:szCs w:val="22"/>
        </w:rPr>
        <w:t xml:space="preserve">**Techniek (berichtenkanalen, eventual consistency, idempotentie) blijft bewust buiten dit deel** — niet omdat het onbelangrijk is, maar omdat het opzetdocument die vraagstukken uitdrukkelijk aan de databasecursus en aan niveau 3 (deel 25) toewijst. Als deelnemers hier diep op willen ingaan, is dat een signaal om naar die vervolgstof te verwijzen, niet om dit deel te verbreden.</w:t>
      </w:r>
    </w:p>
    <w:p>
      <w:pPr>
        <w:pStyle w:val="ListParagraph"/>
        <w:numPr>
          <w:ilvl w:val="0"/>
          <w:numId w:val="1"/>
        </w:numPr>
        <w:spacing w:after="80"/>
      </w:pPr>
      <w:r>
        <w:rPr>
          <w:rFonts w:ascii="Calibri" w:cs="Calibri" w:eastAsia="Calibri" w:hAnsi="Calibri"/>
          <w:sz w:val="22"/>
          <w:szCs w:val="22"/>
        </w:rPr>
        <w:t xml:space="preserve">Kondig aan het eind van het dagdeel aan dat deel 22 het laatste deel van niveau 2 is: een oefensessie in de vorm van het strategische deel van de module-toets, gevolgd door een portfolio-opdracht waarin de context map, de kerndomeinkeuze, de architectuurbeslissingen en de teamtopologie van het hele landschap worden samengebracht — met de twee integratiebladen van dit deel als een van de bouwstenen die in dat portfolio terugkomen.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2026-08-16T19:18:56.028Z</dcterms:created>
  <dcterms:modified xsi:type="dcterms:W3CDTF">2026-08-16T19:18:56.028Z</dcterms:modified>
</cp:coreProperties>
</file>

<file path=docProps/custom.xml><?xml version="1.0" encoding="utf-8"?>
<Properties xmlns="http://schemas.openxmlformats.org/officeDocument/2006/custom-properties" xmlns:vt="http://schemas.openxmlformats.org/officeDocument/2006/docPropsVTypes"/>
</file>