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21 — Domain events als integratiemiddel tussen contexts</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21 van 30</w:t>
      </w:r>
    </w:p>
    <w:p>
      <w:pPr>
        <w:spacing w:after="140" w:line="300"/>
      </w:pPr>
      <w:r>
        <w:rPr>
          <w:rFonts w:ascii="Calibri" w:cs="Calibri" w:eastAsia="Calibri" w:hAnsi="Calibri"/>
          <w:b w:val="false"/>
          <w:bCs w:val="false"/>
          <w:i w:val="false"/>
          <w:iCs w:val="false"/>
          <w:sz w:val="22"/>
          <w:szCs w:val="22"/>
        </w:rPr>
        <w:t xml:space="preserve">Elf opdrachten. Opdracht 1 t/m 4 behandelen het onderscheid tussen interne domain events en integratie-events; opdracht 5 t/m 11 werken met het integratieblad op de twee relaties uit de casus (KERN-Mutatieplatform, Werkgeversportaal-Mutatieplatform) en op een derde, zelf gekozen relatie.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21-A — De acht relaties uit de context map (deel 13-14), kort samengevat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Relatie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Patroon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partnership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KERN ↔ Mutatieplatform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shared kernel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 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customer/supplier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 ↔ 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conformist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 ↔ 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anti-corruption layer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 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 host service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 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published language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(achtste relatie, ter oefening in opdracht 11 zelf te kiezen of te bedenken vanuit het landschap)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r>
    </w:tbl>
    <w:p>
      <w:pPr>
        <w:pStyle w:val="Heading2"/>
        <w:spacing w:after="120" w:before="200"/>
      </w:pPr>
      <w:r>
        <w:rPr>
          <w:rFonts w:ascii="Georgia" w:cs="Georgia" w:eastAsia="Georgia" w:hAnsi="Georgia"/>
          <w:b/>
          <w:bCs/>
          <w:color w:val="2C5AA0"/>
          <w:sz w:val="28"/>
          <w:szCs w:val="28"/>
        </w:rPr>
        <w:t xml:space="preserve">Dossierstuk 21-B — Het integratieblad in het kort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Veld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Vraag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feit — als voltooide gebeurtenis geformuleerd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inhoud, losgemaakt van het interne model van de bron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Bron en afnemer — en wat de afnemer expliciet niet hoeft te weten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er van de bestaande relatie blijft staan naast het event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 het verschil maakt: wat breekt er bij de afnemer als de bron het event ongewaarschuwd wijzigt, en had de afnemer dat kunnen voorkomen zonder het interne model van de bron te kennen?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Intern domain event versus integratie-event, in eigen woorden (10 min, plenair)</w:t>
      </w:r>
    </w:p>
    <w:p>
      <w:pPr>
        <w:spacing w:after="140" w:line="300"/>
      </w:pPr>
      <w:r>
        <w:rPr>
          <w:rFonts w:ascii="Calibri" w:cs="Calibri" w:eastAsia="Calibri" w:hAnsi="Calibri"/>
          <w:b w:val="false"/>
          <w:bCs w:val="false"/>
          <w:i w:val="false"/>
          <w:iCs w:val="false"/>
          <w:sz w:val="22"/>
          <w:szCs w:val="22"/>
        </w:rPr>
        <w:t xml:space="preserve">Leg, zonder de reader erbij te pakken, in twee tot drie zinnen het verschil uit tussen een domain event zoals deel 7 het introduceerde en een integratie-event zoals dit deel het noemt. Vergelijk daarna met §21.3.</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Waarom een integratie-event al vertaald moet zijn (10 min, tweetallen)</w:t>
      </w:r>
    </w:p>
    <w:p>
      <w:pPr>
        <w:spacing w:after="140" w:line="300"/>
      </w:pPr>
      <w:r>
        <w:rPr>
          <w:rFonts w:ascii="Calibri" w:cs="Calibri" w:eastAsia="Calibri" w:hAnsi="Calibri"/>
          <w:b w:val="false"/>
          <w:bCs w:val="false"/>
          <w:i w:val="false"/>
          <w:iCs w:val="false"/>
          <w:sz w:val="22"/>
          <w:szCs w:val="22"/>
        </w:rPr>
        <w:t xml:space="preserve">Vera stelt in §21.3 dat een integratie-event "zelf al de vertaalslag moet hebben ondergaan die bij een anti-corruption layer normaal aan de kant van de afnemer gebeurt". Leg uit wat er misgaat als een bron-context zijn interne velden en tabelstructuur rechtstreeks als integratie-event publiceert, zonder die vertaalslag.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Shared kernel versus integratie-event onderscheiden (15 min, tweetallen)</w:t>
      </w:r>
    </w:p>
    <w:p>
      <w:pPr>
        <w:spacing w:after="140" w:line="300"/>
      </w:pPr>
      <w:r>
        <w:rPr>
          <w:rFonts w:ascii="Calibri" w:cs="Calibri" w:eastAsia="Calibri" w:hAnsi="Calibri"/>
          <w:b w:val="false"/>
          <w:bCs w:val="false"/>
          <w:i w:val="false"/>
          <w:iCs w:val="false"/>
          <w:sz w:val="22"/>
          <w:szCs w:val="22"/>
        </w:rPr>
        <w:t xml:space="preserve">Otto vat in §21.3 het onderscheid samen: "Een shared kernel is: we bouwen dit stukje samen, voor altijd. Een integratie-event is: ik vertel je wat ik heb gedaan, en jij beslist zelf wat je daarmee doet." Neem twee voorbeelden uit het Meridiaan-landschap (of van elders) en bepaal voor elk: is dit iets waar twee contexts het blijvend over eens moeten zijn (shared kernel), of iets waarvan de ene context de andere alleen op de hoogte moet stellen (integratie-event)?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Wat een integratie-event niet oplost (10 min, plenair)</w:t>
      </w:r>
    </w:p>
    <w:p>
      <w:pPr>
        <w:spacing w:after="140" w:line="300"/>
      </w:pPr>
      <w:r>
        <w:rPr>
          <w:rFonts w:ascii="Calibri" w:cs="Calibri" w:eastAsia="Calibri" w:hAnsi="Calibri"/>
          <w:b w:val="false"/>
          <w:bCs w:val="false"/>
          <w:i w:val="false"/>
          <w:iCs w:val="false"/>
          <w:sz w:val="22"/>
          <w:szCs w:val="22"/>
        </w:rPr>
        <w:t xml:space="preserve">Foppe waarschuwt in §21.3 dat een integratie-event geen shared kernel of anti-corruption layer overbodig maakt. Leg uit welk probleem een integratie-event wél oplost, en welk probleem niet — gebruik de relatie KERN-Mutatieplatform als voorbeeld.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Veld 1 en 2 voor "dienstverband gewijzigd" (20 min, groepjes van drie tot vier)</w:t>
      </w:r>
    </w:p>
    <w:p>
      <w:pPr>
        <w:spacing w:after="140" w:line="300"/>
      </w:pPr>
      <w:r>
        <w:rPr>
          <w:rFonts w:ascii="Calibri" w:cs="Calibri" w:eastAsia="Calibri" w:hAnsi="Calibri"/>
          <w:b w:val="false"/>
          <w:bCs w:val="false"/>
          <w:i w:val="false"/>
          <w:iCs w:val="false"/>
          <w:sz w:val="22"/>
          <w:szCs w:val="22"/>
        </w:rPr>
        <w:t xml:space="preserve">Vul, op basis van §21.4, veld 1 en 2 van het integratieblad in voor het event "dienstverband gewijzigd" tussen KERN en het Mutatieplatform. Formuleer veld 1 als voltooid feit. Wees bij veld 2 concreet: welke gegevens zijn nodig, en in welke taal (de shared kernel-begrippen, niet KERN's interne tabellen)?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Veld 3: wat hoeft het Mutatieplatform niet te weten? (15 min, groepjes van drie tot vier)</w:t>
      </w:r>
    </w:p>
    <w:p>
      <w:pPr>
        <w:spacing w:after="140" w:line="300"/>
      </w:pPr>
      <w:r>
        <w:rPr>
          <w:rFonts w:ascii="Calibri" w:cs="Calibri" w:eastAsia="Calibri" w:hAnsi="Calibri"/>
          <w:b w:val="false"/>
          <w:bCs w:val="false"/>
          <w:i w:val="false"/>
          <w:iCs w:val="false"/>
          <w:sz w:val="22"/>
          <w:szCs w:val="22"/>
        </w:rPr>
        <w:t xml:space="preserve">Ga verder met dezelfde relatie. Benoem expliciet: wat hoeft het Mutatieplatform-team niet te weten over hoe KERN intern is opgebouwd, om dit event te kunnen gebruiken? Formuleer minstens twee concrete voorbeelden van interne KERN-details die de afnemer niet hoort te kennen.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Veld 4: wat blijft er van de shared kernel staan? (15 min, groepjes van drie tot vier)</w:t>
      </w:r>
    </w:p>
    <w:p>
      <w:pPr>
        <w:spacing w:after="140" w:line="300"/>
      </w:pPr>
      <w:r>
        <w:rPr>
          <w:rFonts w:ascii="Calibri" w:cs="Calibri" w:eastAsia="Calibri" w:hAnsi="Calibri"/>
          <w:b w:val="false"/>
          <w:bCs w:val="false"/>
          <w:i w:val="false"/>
          <w:iCs w:val="false"/>
          <w:sz w:val="22"/>
          <w:szCs w:val="22"/>
        </w:rPr>
        <w:t xml:space="preserve">Vera onderscheidt in §21.4 tussen "gedeelde betekenis" (blijft shared kernel) en "doorgegeven feiten" (wordt integratie-event). Vul veld 4 in: welk deel van de relatie tussen KERN en het Mutatieplatform blijft, na invoering van dit event, nog steeds een shared kernel, en waarom precies dat deel?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8 — Het afsluitende veld voor "dienstverband gewijzigd" (10 min, plenair)</w:t>
      </w:r>
    </w:p>
    <w:p>
      <w:pPr>
        <w:spacing w:after="140" w:line="300"/>
      </w:pPr>
      <w:r>
        <w:rPr>
          <w:rFonts w:ascii="Calibri" w:cs="Calibri" w:eastAsia="Calibri" w:hAnsi="Calibri"/>
          <w:b w:val="false"/>
          <w:bCs w:val="false"/>
          <w:i w:val="false"/>
          <w:iCs w:val="false"/>
          <w:sz w:val="22"/>
          <w:szCs w:val="22"/>
        </w:rPr>
        <w:t xml:space="preserve">Vul het afsluitende veld in: als KERN de vorm van dit event morgen zou wijzigen zonder het Mutatieplatform-team te waarschuwen, wat breekt er dan, en had het Mutatieplatform-team dat kunnen voorkomen zonder KERN's interne model te kennen? Wees concreet — "het gaat dan mis" is geen antwoord.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9 — Het volledige integratieblad voor "deeltijdwijziging geaccepteerd" (25 min, groepjes van drie tot vier)</w:t>
      </w:r>
    </w:p>
    <w:p>
      <w:pPr>
        <w:spacing w:after="140" w:line="300"/>
      </w:pPr>
      <w:r>
        <w:rPr>
          <w:rFonts w:ascii="Calibri" w:cs="Calibri" w:eastAsia="Calibri" w:hAnsi="Calibri"/>
          <w:b w:val="false"/>
          <w:bCs w:val="false"/>
          <w:i w:val="false"/>
          <w:iCs w:val="false"/>
          <w:sz w:val="22"/>
          <w:szCs w:val="22"/>
        </w:rPr>
        <w:t xml:space="preserve">Vul, op basis van §21.5, het volledige integratieblad in (alle vier de velden plus het afsluitende veld) voor het event "deeltijdwijziging geaccepteerd" tussen het Werkgeversportaal en het Mutatieplatform. Gebruik expliciet het onderscheid uit §21.5 tussen reeds afgebakende mutaties (event) en nieuwe, nog niet afgebakende mutaties (partnership blijft nodig) in veld 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10 — Wanneer een integratie-event de verkeerde keuze is (15 min, groepjes van drie tot vier)</w:t>
      </w:r>
    </w:p>
    <w:p>
      <w:pPr>
        <w:spacing w:after="140" w:line="300"/>
      </w:pPr>
      <w:r>
        <w:rPr>
          <w:rFonts w:ascii="Calibri" w:cs="Calibri" w:eastAsia="Calibri" w:hAnsi="Calibri"/>
          <w:b w:val="false"/>
          <w:bCs w:val="false"/>
          <w:i w:val="false"/>
          <w:iCs w:val="false"/>
          <w:sz w:val="22"/>
          <w:szCs w:val="22"/>
        </w:rPr>
        <w:t xml:space="preserve">Neem de relatie Mutatieplatform-Nabestaandenloket (customer/supplier, dossierstuk 21-A). Beargumenteer of een integratie-event hier een geschikte aanvulling zou zijn op het bestaande patroon, of dat het patroon zoals het nu is (customer/supplier, zonder event) beter past — en waarom. Gebruik hierbij het onderscheid uit opdracht 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11 — Een integratieblad voor een zelf gekozen relatie (25 min, groepjes van drie tot vier)</w:t>
      </w:r>
    </w:p>
    <w:p>
      <w:pPr>
        <w:spacing w:after="140" w:line="300"/>
      </w:pPr>
      <w:r>
        <w:rPr>
          <w:rFonts w:ascii="Calibri" w:cs="Calibri" w:eastAsia="Calibri" w:hAnsi="Calibri"/>
          <w:b w:val="false"/>
          <w:bCs w:val="false"/>
          <w:i w:val="false"/>
          <w:iCs w:val="false"/>
          <w:sz w:val="22"/>
          <w:szCs w:val="22"/>
        </w:rPr>
        <w:t xml:space="preserve">Kies een derde relatie uit dossierstuk 21-A die nog niet in dit deel is behandeld (bijvoorbeeld Wegwijzer-KERN of Mutatieplatform-Wegwijzer) en beargumenteer eerst of een integratie-event hier zinvol is. Is het antwoord ja, vul dan het volledige integratieblad in. Is het antwoord nee, onderbouw waarom niet — met een verwijzing naar het onderscheid uit §21.3 tussen gedeelde betekenis en doorgegeven feiten.</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Een intern domain event blijft binnen één bounded context en mag gebruikmaken van het volledige interne model van die context — het hoeft niet begrijpelijk te zijn voor wie het model niet kent. Een integratie-event steekt bewust een contextgrens over: het moet, om bruikbaar te zijn voor de afnemer, al vertaald zijn naar een vorm die niet afhangt van het interne model van de bron, en het is een expliciete belofte die de bron moet blijven nakomen, ook als het interne model verandert.</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Als een bron zijn interne velden en tabelstructuur rechtstreeks publiceert, wordt de afnemer feitelijk afhankelijk van elke interne wijziging bij de bron — precies het probleem dat een anti-corruption layer normaal voorkomt door de vertaling bij de afnemer te leggen. Zonder die vertaalslag bij vertrek verplaatst het probleem zich alleen: in plaats van één anti-corruption layer bij de afnemer, moet nu elke afnemer zelf een vertaling bouwen naar de interne structuur van de bron, en breekt die vertaling zodra de bron intern iets herstructureert — het omgekeerde van het doel van een integratie-event.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Geen vaste uitwerking. Richtsnoer: een voorbeeld is shared kernel-materiaal als beide contexts voortdurend, structureel dezelfde betekenis van een begrip nodig hebben (zoals "dienstverband" tussen KERN en het Mutatieplatform); een voorbeeld is integratie-event-materiaal als de ene context alleen hoeft te weten dát er iets is gebeurd, zonder de betekenis ervan zelf mede vast te stellen (zoals "een deeltijdwijziging is geaccepteerd").</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Een integratie-event lost op dat twee teams niet bij elke afzonderlijke gebeurtenis synchroon hoeven af te stemmen — de bron publiceert, de afnemer reageert op eigen tempo. Het lost niet op dat twee teams het eens moeten zijn over de betekenis van een gedeeld begrip: bij KERN-Mutatieplatform blijft de definitie van "dienstverband" zelf iets dat beide teams gezamenlijk moeten bewaken (shared kernel), ongeacht hoeveel van de dagelijkse mutaties via een event lopen.</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Geen vaste uitwerking. Verwacht veld 1: "Dienstverband gewijzigd" (voltooid feit, niet "dienstverband wijzigen"). Veld 2: gegevens als deelnemersnummer, ingangsdatum van de wijziging, nieuw percentage/type dienstverband — geformuleerd in de begrippen die de shared kernel al vastlegt, niet als rechtstreekse kopie van KERN's interne tabelvelden.</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Geen vaste uitwerking. Verwacht: het Mutatieplatform-team hoeft niet te weten hoe KERN de historie van een dienstverband intern opslaat (bijvoorbeeld welke tabellen of versienummers KERN gebruikt), en hoeft niet te weten via welk intern proces of welke uitzonderingsregel KERN tot de wijziging is gekomen — alleen het resultaat (wat is er gewijzigd, per wanneer) is relevant.</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Geen vaste uitwerking. Verwacht: de definitie van wat een "dienstverband" precies is — de grens tussen een nieuw dienstverband en een gewijzigd dienstverband, zoals die in deel 13 ter discussie stond — blijft shared kernel, omdat beide teams het daarover blijvend eens moeten zijn om consistent te kunnen valideren; het incidentele feit van een specifieke wijziging wordt overgenomen door het event.</w:t>
      </w:r>
    </w:p>
    <w:p>
      <w:pPr>
        <w:pStyle w:val="Heading2"/>
        <w:spacing w:after="120" w:before="200"/>
      </w:pPr>
      <w:r>
        <w:rPr>
          <w:rFonts w:ascii="Georgia" w:cs="Georgia" w:eastAsia="Georgia" w:hAnsi="Georgia"/>
          <w:b/>
          <w:bCs/>
          <w:color w:val="2C5AA0"/>
          <w:sz w:val="28"/>
          <w:szCs w:val="28"/>
        </w:rPr>
        <w:t xml:space="preserve">Uitwerking 8</w:t>
      </w:r>
    </w:p>
    <w:p>
      <w:pPr>
        <w:spacing w:after="140" w:line="300"/>
      </w:pPr>
      <w:r>
        <w:rPr>
          <w:rFonts w:ascii="Calibri" w:cs="Calibri" w:eastAsia="Calibri" w:hAnsi="Calibri"/>
          <w:b w:val="false"/>
          <w:bCs w:val="false"/>
          <w:i w:val="false"/>
          <w:iCs w:val="false"/>
          <w:sz w:val="22"/>
          <w:szCs w:val="22"/>
        </w:rPr>
        <w:t xml:space="preserve">Geen vaste uitwerking. Verwacht: als KERN bijvoorbeeld een veld hernoemt of een nieuwe verplichte waarde toevoegt zonder aankondiging, breekt de verwerking bij het Mutatieplatform (een validatie die een verwacht veld niet meer vindt, of een waarde niet herkent). Dat had voorkomen kunnen worden als de vorm van het event zelf vooraf was vastgelegd als contract (bijvoorbeeld met een aangekondigde versie), zonder dat het Mutatieplatform-team KERN's interne wijziging zelf hoefde te kennen — alleen dat de vorm van het contract veranderde.</w:t>
      </w:r>
    </w:p>
    <w:p>
      <w:pPr>
        <w:pStyle w:val="Heading2"/>
        <w:spacing w:after="120" w:before="200"/>
      </w:pPr>
      <w:r>
        <w:rPr>
          <w:rFonts w:ascii="Georgia" w:cs="Georgia" w:eastAsia="Georgia" w:hAnsi="Georgia"/>
          <w:b/>
          <w:bCs/>
          <w:color w:val="2C5AA0"/>
          <w:sz w:val="28"/>
          <w:szCs w:val="28"/>
        </w:rPr>
        <w:t xml:space="preserve">Uitwerking 9</w:t>
      </w:r>
    </w:p>
    <w:p>
      <w:pPr>
        <w:spacing w:after="140" w:line="300"/>
      </w:pPr>
      <w:r>
        <w:rPr>
          <w:rFonts w:ascii="Calibri" w:cs="Calibri" w:eastAsia="Calibri" w:hAnsi="Calibri"/>
          <w:b w:val="false"/>
          <w:bCs w:val="false"/>
          <w:i w:val="false"/>
          <w:iCs w:val="false"/>
          <w:sz w:val="22"/>
          <w:szCs w:val="22"/>
        </w:rPr>
        <w:t xml:space="preserve">Geen vaste uitwerking. Verwacht veld 1: "Deeltijdwijziging geaccepteerd". Veld 2: de gegevens die in deel 17 via example mapping als noodzakelijk en voldoende zijn vastgesteld (bijvoorbeeld deelnemersnummer, oud en nieuw percentage, ingangsdatum, en de eerder afgesproken classificatie "nieuw dienstverband" of "doorlopend"). Veld 3: het Mutatieplatform-team hoeft niet te weten hoe het Werkgeversportaal intern een wijziging valideert of registreert. Veld 4: voor reeds afgebakende mutatietypen vervangt het event het grootste deel van het dagelijkse afstemmingsverkeer; voor nieuwe, nog niet via example mapping afgebakende mutatietypen blijft de partnership nodig totdat er een nieuwe afspraak ligt.</w:t>
      </w:r>
    </w:p>
    <w:p>
      <w:pPr>
        <w:pStyle w:val="Heading2"/>
        <w:spacing w:after="120" w:before="200"/>
      </w:pPr>
      <w:r>
        <w:rPr>
          <w:rFonts w:ascii="Georgia" w:cs="Georgia" w:eastAsia="Georgia" w:hAnsi="Georgia"/>
          <w:b/>
          <w:bCs/>
          <w:color w:val="2C5AA0"/>
          <w:sz w:val="28"/>
          <w:szCs w:val="28"/>
        </w:rPr>
        <w:t xml:space="preserve">Uitwerking 10</w:t>
      </w:r>
    </w:p>
    <w:p>
      <w:pPr>
        <w:spacing w:after="140" w:line="300"/>
      </w:pPr>
      <w:r>
        <w:rPr>
          <w:rFonts w:ascii="Calibri" w:cs="Calibri" w:eastAsia="Calibri" w:hAnsi="Calibri"/>
          <w:b w:val="false"/>
          <w:bCs w:val="false"/>
          <w:i w:val="false"/>
          <w:iCs w:val="false"/>
          <w:sz w:val="22"/>
          <w:szCs w:val="22"/>
        </w:rPr>
        <w:t xml:space="preserve">Geen vaste uitwerking. Richtsnoer: de customer/supplier-relatie tussen Mutatieplatform en Nabestaandenloket kan goed gecombineerd worden met een integratie-event zodra het Mutatieplatform mutatiegegevens levert die het Nabestaandenloket nodig heeft (bijvoorbeeld een overlijdenssignaal) — dat is precies het type "doorgegeven feit" waar een event geschikt voor is. Het onderliggende customer/supplier-patroon (het Nabestaandenloket als klant die prioriteiten kan inbrengen bij het Mutatieplatform) blijft daarnaast nodig voor de vraag wélke feiten het Mutatieplatform prioriteert te leveren — dat is geen doorgegeven feit maar een onderhandeling, en die vervangt een event niet.</w:t>
      </w:r>
    </w:p>
    <w:p>
      <w:pPr>
        <w:pStyle w:val="Heading2"/>
        <w:spacing w:after="120" w:before="200"/>
      </w:pPr>
      <w:r>
        <w:rPr>
          <w:rFonts w:ascii="Georgia" w:cs="Georgia" w:eastAsia="Georgia" w:hAnsi="Georgia"/>
          <w:b/>
          <w:bCs/>
          <w:color w:val="2C5AA0"/>
          <w:sz w:val="28"/>
          <w:szCs w:val="28"/>
        </w:rPr>
        <w:t xml:space="preserve">Uitwerking 11</w:t>
      </w:r>
    </w:p>
    <w:p>
      <w:pPr>
        <w:spacing w:after="140" w:line="300"/>
      </w:pPr>
      <w:r>
        <w:rPr>
          <w:rFonts w:ascii="Calibri" w:cs="Calibri" w:eastAsia="Calibri" w:hAnsi="Calibri"/>
          <w:b w:val="false"/>
          <w:bCs w:val="false"/>
          <w:i w:val="false"/>
          <w:iCs w:val="false"/>
          <w:sz w:val="22"/>
          <w:szCs w:val="22"/>
        </w:rPr>
        <w:t xml:space="preserve">Geen vaste uitwerking. Verwacht bijvoorbeeld voor Mutatieplatform-Wegwijzer (open host service): een integratie-event is hier goed te combineren met het bestaande patroon, omdat een open host service per definitie een stabiel, voor meerdere afnemers bruikbaar aanbod veronderstelt — een gepubliceerd event zoals "mutatie doorgevoerd" past daar natuurlijk bij, met veld 3 die expliciet vastlegt dat Wegwijzer niets van de interne verwerking van het Mutatieplatform hoeft te kennen. Voor Wegwijzer-KERN (conformist) is een integratie-event minder voor de hand liggend zolang de relatie conformist blijft: Wegwijzer neemt toch al klakkeloos over wat KERN aanlevert, en een event lost het onderliggende probleem (geen eigen vertaling, geen onderhandelingspositie) niet op — eerder relevant nadat Wegwijzer, zoals in deel 20 voorgesteld, een eigen vertaling heeft opgebouwd.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2026-08-16T19:18:55.997Z</dcterms:created>
  <dcterms:modified xsi:type="dcterms:W3CDTF">2026-08-16T19:18:55.997Z</dcterms:modified>
</cp:coreProperties>
</file>

<file path=docProps/custom.xml><?xml version="1.0" encoding="utf-8"?>
<Properties xmlns="http://schemas.openxmlformats.org/officeDocument/2006/custom-properties" xmlns:vt="http://schemas.openxmlformats.org/officeDocument/2006/docPropsVTypes"/>
</file>